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אריאל ממן</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5366A9" w:rsidRDefault="004F22EC" w:rsidP="00766766">
            <w:pPr>
              <w:rPr>
                <w:rFonts w:ascii="Arial (W1)" w:hAnsi="Arial (W1)"/>
                <w:b/>
                <w:bCs/>
                <w:noProof w:val="0"/>
                <w:sz w:val="28"/>
                <w:szCs w:val="28"/>
                <w:rtl/>
              </w:rPr>
            </w:pPr>
            <w:r>
              <w:rPr>
                <w:rFonts w:hint="cs"/>
                <w:b/>
                <w:bCs/>
                <w:noProof w:val="0"/>
                <w:sz w:val="28"/>
                <w:rtl/>
              </w:rPr>
              <w:t>התובע</w:t>
            </w:r>
            <w:r w:rsidR="00766766">
              <w:rPr>
                <w:rFonts w:ascii="Arial (W1)" w:hAnsi="Arial (W1)" w:hint="cs"/>
                <w:b/>
                <w:bCs/>
                <w:noProof w:val="0"/>
                <w:sz w:val="28"/>
                <w:szCs w:val="28"/>
                <w:rtl/>
              </w:rPr>
              <w:t xml:space="preserve"> </w:t>
            </w:r>
            <w:r w:rsidR="00511F4D">
              <w:rPr>
                <w:rFonts w:ascii="Arial (W1)" w:hAnsi="Arial (W1)" w:hint="cs"/>
                <w:b/>
                <w:bCs/>
                <w:noProof w:val="0"/>
                <w:rtl/>
              </w:rPr>
              <w:t xml:space="preserve">   </w:t>
            </w:r>
            <w:r w:rsidR="00766766" w:rsidRPr="00766766">
              <w:rPr>
                <w:rFonts w:ascii="Arial (W1)" w:hAnsi="Arial (W1)" w:hint="cs"/>
                <w:b/>
                <w:bCs/>
                <w:noProof w:val="0"/>
                <w:rtl/>
              </w:rPr>
              <w:t>(ב</w:t>
            </w:r>
            <w:sdt>
              <w:sdtPr>
                <w:rPr>
                  <w:b/>
                  <w:bCs/>
                  <w:noProof w:val="0"/>
                  <w:rtl/>
                </w:rPr>
                <w:alias w:val="1170"/>
                <w:tag w:val="1170"/>
                <w:id w:val="973568633"/>
                <w:text w:multiLine="1"/>
              </w:sdtPr>
              <w:sdtEndPr/>
              <w:sdtContent>
                <w:r w:rsidR="00766766" w:rsidRPr="00766766">
                  <w:rPr>
                    <w:b/>
                    <w:bCs/>
                    <w:noProof w:val="0"/>
                    <w:rtl/>
                  </w:rPr>
                  <w:t>ת"ע</w:t>
                </w:r>
              </w:sdtContent>
            </w:sdt>
            <w:r w:rsidR="00766766" w:rsidRPr="00766766">
              <w:rPr>
                <w:b/>
                <w:bCs/>
                <w:noProof w:val="0"/>
                <w:rtl/>
              </w:rPr>
              <w:t xml:space="preserve"> </w:t>
            </w:r>
            <w:sdt>
              <w:sdtPr>
                <w:rPr>
                  <w:b/>
                  <w:bCs/>
                  <w:noProof w:val="0"/>
                  <w:rtl/>
                </w:rPr>
                <w:alias w:val="1171"/>
                <w:tag w:val="1171"/>
                <w:id w:val="-961644908"/>
                <w:text w:multiLine="1"/>
              </w:sdtPr>
              <w:sdtEndPr/>
              <w:sdtContent>
                <w:r w:rsidR="00766766" w:rsidRPr="00766766">
                  <w:rPr>
                    <w:b/>
                    <w:bCs/>
                    <w:noProof w:val="0"/>
                    <w:rtl/>
                  </w:rPr>
                  <w:t>7772-12-19</w:t>
                </w:r>
              </w:sdtContent>
            </w:sdt>
            <w:r w:rsidR="00766766" w:rsidRPr="00766766">
              <w:rPr>
                <w:rFonts w:hint="cs"/>
                <w:b/>
                <w:bCs/>
                <w:noProof w:val="0"/>
                <w:rtl/>
              </w:rPr>
              <w:t>)</w:t>
            </w:r>
          </w:p>
          <w:p w:rsidR="00766766" w:rsidRDefault="00766766" w:rsidP="00AE029F">
            <w:pPr>
              <w:rPr>
                <w:rFonts w:ascii="Arial (W1)" w:hAnsi="Arial (W1)"/>
                <w:b/>
                <w:bCs/>
                <w:noProof w:val="0"/>
                <w:sz w:val="28"/>
                <w:szCs w:val="28"/>
              </w:rPr>
            </w:pPr>
          </w:p>
        </w:tc>
        <w:tc>
          <w:tcPr>
            <w:tcW w:w="5571" w:type="dxa"/>
          </w:tcPr>
          <w:p w:rsidR="006816EC" w:rsidRDefault="006816EC">
            <w:pPr>
              <w:rPr>
                <w:rFonts w:ascii="Arial (W1)" w:hAnsi="Arial (W1)"/>
                <w:b/>
                <w:bCs/>
                <w:noProof w:val="0"/>
                <w:sz w:val="28"/>
                <w:szCs w:val="28"/>
                <w:rtl/>
              </w:rPr>
            </w:pPr>
          </w:p>
          <w:p w:rsidR="00AE029F" w:rsidRDefault="00FB3C14">
            <w:pPr>
              <w:rPr>
                <w:rFonts w:ascii="Arial" w:hAnsi="Arial"/>
                <w:b/>
                <w:bCs/>
                <w:noProof w:val="0"/>
                <w:sz w:val="26"/>
                <w:szCs w:val="26"/>
                <w:rtl/>
              </w:rPr>
            </w:pPr>
            <w:r>
              <w:rPr>
                <w:rFonts w:hint="cs"/>
                <w:b/>
                <w:bCs/>
                <w:noProof w:val="0"/>
                <w:sz w:val="28"/>
                <w:rtl/>
              </w:rPr>
              <w:t>א</w:t>
            </w:r>
            <w:r w:rsidR="005B7B29">
              <w:rPr>
                <w:rFonts w:hint="cs"/>
                <w:b/>
                <w:bCs/>
                <w:noProof w:val="0"/>
                <w:sz w:val="28"/>
                <w:rtl/>
              </w:rPr>
              <w:t>. נ.</w:t>
            </w:r>
          </w:p>
          <w:p w:rsidR="006816EC" w:rsidRDefault="00AE029F">
            <w:pPr>
              <w:rPr>
                <w:rFonts w:ascii="Arial (W1)" w:hAnsi="Arial (W1)"/>
                <w:b/>
                <w:bCs/>
                <w:noProof w:val="0"/>
                <w:rtl/>
              </w:rPr>
            </w:pPr>
            <w:r w:rsidRPr="00AE029F">
              <w:rPr>
                <w:rFonts w:ascii="Arial (W1)" w:hAnsi="Arial (W1)"/>
                <w:b/>
                <w:bCs/>
                <w:noProof w:val="0"/>
                <w:rtl/>
              </w:rPr>
              <w:t>ע</w:t>
            </w:r>
            <w:r>
              <w:rPr>
                <w:rFonts w:ascii="Arial (W1)" w:hAnsi="Arial (W1)"/>
                <w:b/>
                <w:bCs/>
                <w:noProof w:val="0"/>
                <w:rtl/>
              </w:rPr>
              <w:t>"י ב"כ עוה"ד אברהם שמש ואייל בוטון</w:t>
            </w:r>
          </w:p>
          <w:p w:rsidR="00EF07C8" w:rsidRDefault="00EF07C8">
            <w:pPr>
              <w:rPr>
                <w:rFonts w:ascii="Arial (W1)" w:hAnsi="Arial (W1)"/>
                <w:b/>
                <w:bCs/>
                <w:noProof w:val="0"/>
                <w:sz w:val="28"/>
                <w:szCs w:val="28"/>
              </w:rPr>
            </w:pPr>
            <w:r>
              <w:rPr>
                <w:rFonts w:ascii="Arial (W1)" w:hAnsi="Arial (W1)" w:hint="cs"/>
                <w:b/>
                <w:bCs/>
                <w:noProof w:val="0"/>
                <w:rtl/>
              </w:rPr>
              <w:t xml:space="preserve">                                              (</w:t>
            </w:r>
            <w:r w:rsidRPr="00AE029F">
              <w:rPr>
                <w:rFonts w:ascii="Arial (W1)" w:hAnsi="Arial (W1)" w:hint="cs"/>
                <w:b/>
                <w:bCs/>
                <w:noProof w:val="0"/>
                <w:rtl/>
              </w:rPr>
              <w:t>הנתבע</w:t>
            </w:r>
            <w:r>
              <w:rPr>
                <w:rFonts w:ascii="Arial (W1)" w:hAnsi="Arial (W1)" w:hint="cs"/>
                <w:b/>
                <w:bCs/>
                <w:noProof w:val="0"/>
                <w:rtl/>
              </w:rPr>
              <w:t xml:space="preserve"> 2 ב</w:t>
            </w:r>
            <w:r w:rsidRPr="00AE029F">
              <w:rPr>
                <w:rFonts w:ascii="Arial (W1)" w:hAnsi="Arial (W1)"/>
                <w:b/>
                <w:bCs/>
                <w:noProof w:val="0"/>
                <w:rtl/>
              </w:rPr>
              <w:t>תמ"ש 27575-12-20</w:t>
            </w:r>
            <w:r w:rsidRPr="00AE029F">
              <w:rPr>
                <w:rFonts w:ascii="Arial (W1)" w:hAnsi="Arial (W1)" w:hint="cs"/>
                <w:b/>
                <w:bCs/>
                <w:noProof w:val="0"/>
                <w:rtl/>
              </w:rPr>
              <w:t>)</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766766" w:rsidRDefault="004F22EC" w:rsidP="00AE029F">
            <w:pPr>
              <w:rPr>
                <w:rFonts w:ascii="Arial (W1)" w:hAnsi="Arial (W1)"/>
                <w:b/>
                <w:bCs/>
                <w:noProof w:val="0"/>
                <w:sz w:val="28"/>
                <w:szCs w:val="28"/>
                <w:rtl/>
              </w:rPr>
            </w:pPr>
            <w:r>
              <w:rPr>
                <w:rFonts w:hint="cs"/>
                <w:b/>
                <w:bCs/>
                <w:noProof w:val="0"/>
                <w:sz w:val="28"/>
                <w:rtl/>
              </w:rPr>
              <w:t>ה</w:t>
            </w:r>
            <w:r w:rsidR="00185B6B">
              <w:rPr>
                <w:rFonts w:hint="cs"/>
                <w:b/>
                <w:bCs/>
                <w:noProof w:val="0"/>
                <w:sz w:val="28"/>
                <w:rtl/>
              </w:rPr>
              <w:t>נתבעים (</w:t>
            </w:r>
            <w:r w:rsidR="00766766">
              <w:rPr>
                <w:rFonts w:hint="cs"/>
                <w:b/>
                <w:bCs/>
                <w:noProof w:val="0"/>
                <w:sz w:val="28"/>
                <w:rtl/>
              </w:rPr>
              <w:t>ב</w:t>
            </w:r>
            <w:r w:rsidR="00766766" w:rsidRPr="00766766">
              <w:rPr>
                <w:b/>
                <w:bCs/>
                <w:noProof w:val="0"/>
                <w:sz w:val="28"/>
                <w:rtl/>
              </w:rPr>
              <w:t>ת"ע 7772-12-19</w:t>
            </w:r>
            <w:r w:rsidR="00766766" w:rsidRPr="00766766">
              <w:rPr>
                <w:rFonts w:ascii="Arial (W1)" w:hAnsi="Arial (W1)" w:hint="cs"/>
                <w:b/>
                <w:bCs/>
                <w:noProof w:val="0"/>
                <w:sz w:val="26"/>
                <w:szCs w:val="26"/>
                <w:rtl/>
              </w:rPr>
              <w:t>)</w:t>
            </w:r>
          </w:p>
          <w:p w:rsidR="00AE029F" w:rsidRDefault="00AE029F" w:rsidP="00AE029F">
            <w:pPr>
              <w:rPr>
                <w:rFonts w:ascii="Arial (W1)" w:hAnsi="Arial (W1)"/>
                <w:b/>
                <w:bCs/>
                <w:noProof w:val="0"/>
                <w:rtl/>
              </w:rPr>
            </w:pPr>
          </w:p>
          <w:p w:rsidR="00AE029F" w:rsidRDefault="00AE029F" w:rsidP="004F22EC">
            <w:pPr>
              <w:rPr>
                <w:rFonts w:ascii="Arial (W1)" w:hAnsi="Arial (W1)"/>
                <w:b/>
                <w:bCs/>
                <w:noProof w:val="0"/>
                <w:sz w:val="28"/>
                <w:szCs w:val="28"/>
                <w:rtl/>
              </w:rPr>
            </w:pPr>
          </w:p>
          <w:p w:rsidR="000D758D" w:rsidRDefault="000D758D" w:rsidP="004F22EC">
            <w:pPr>
              <w:rPr>
                <w:rFonts w:ascii="Arial (W1)" w:hAnsi="Arial (W1)"/>
                <w:b/>
                <w:bCs/>
                <w:noProof w:val="0"/>
                <w:sz w:val="28"/>
                <w:szCs w:val="28"/>
                <w:rtl/>
              </w:rPr>
            </w:pPr>
          </w:p>
          <w:p w:rsidR="000D758D" w:rsidRDefault="000D758D" w:rsidP="004F22EC">
            <w:pPr>
              <w:rPr>
                <w:rFonts w:ascii="Arial (W1)" w:hAnsi="Arial (W1)"/>
                <w:b/>
                <w:bCs/>
                <w:noProof w:val="0"/>
                <w:sz w:val="28"/>
                <w:szCs w:val="28"/>
                <w:rtl/>
              </w:rPr>
            </w:pPr>
          </w:p>
          <w:p w:rsidR="00AE029F" w:rsidRDefault="00AE029F" w:rsidP="004F22EC">
            <w:pPr>
              <w:rPr>
                <w:rFonts w:ascii="Arial (W1)" w:hAnsi="Arial (W1)"/>
                <w:b/>
                <w:bCs/>
                <w:noProof w:val="0"/>
                <w:sz w:val="28"/>
                <w:szCs w:val="28"/>
                <w:rtl/>
              </w:rPr>
            </w:pPr>
          </w:p>
          <w:p w:rsidR="00AE029F" w:rsidRDefault="00AE029F" w:rsidP="004F22EC">
            <w:pPr>
              <w:rPr>
                <w:rFonts w:ascii="Arial (W1)" w:hAnsi="Arial (W1)"/>
                <w:b/>
                <w:bCs/>
                <w:noProof w:val="0"/>
                <w:sz w:val="28"/>
                <w:szCs w:val="28"/>
                <w:rtl/>
              </w:rPr>
            </w:pPr>
          </w:p>
          <w:p w:rsidR="00AE029F" w:rsidRDefault="00AE029F" w:rsidP="004F22EC">
            <w:pPr>
              <w:rPr>
                <w:rFonts w:ascii="Arial (W1)" w:hAnsi="Arial (W1)"/>
                <w:b/>
                <w:bCs/>
                <w:noProof w:val="0"/>
                <w:sz w:val="28"/>
                <w:szCs w:val="28"/>
                <w:rtl/>
              </w:rPr>
            </w:pPr>
          </w:p>
          <w:p w:rsidR="00AE029F" w:rsidRPr="000D758D" w:rsidRDefault="00AE029F" w:rsidP="004F22EC">
            <w:pPr>
              <w:rPr>
                <w:rFonts w:ascii="Arial (W1)" w:hAnsi="Arial (W1)"/>
                <w:b/>
                <w:bCs/>
                <w:noProof w:val="0"/>
                <w:sz w:val="20"/>
                <w:szCs w:val="20"/>
                <w:rtl/>
              </w:rPr>
            </w:pPr>
          </w:p>
          <w:p w:rsidR="00AE029F" w:rsidRDefault="00AE029F" w:rsidP="004F22EC">
            <w:pPr>
              <w:rPr>
                <w:rFonts w:ascii="Arial (W1)" w:hAnsi="Arial (W1)"/>
                <w:b/>
                <w:bCs/>
                <w:noProof w:val="0"/>
                <w:sz w:val="28"/>
                <w:szCs w:val="28"/>
                <w:rtl/>
              </w:rPr>
            </w:pPr>
          </w:p>
          <w:p w:rsidR="00AE029F" w:rsidRDefault="00AE029F" w:rsidP="004F22EC">
            <w:pPr>
              <w:rPr>
                <w:rFonts w:ascii="Arial (W1)" w:hAnsi="Arial (W1)"/>
                <w:b/>
                <w:bCs/>
                <w:noProof w:val="0"/>
                <w:sz w:val="28"/>
                <w:szCs w:val="28"/>
                <w:rtl/>
              </w:rPr>
            </w:pPr>
          </w:p>
          <w:p w:rsidR="00F379E8" w:rsidRDefault="00F379E8" w:rsidP="004F22EC">
            <w:pPr>
              <w:rPr>
                <w:rFonts w:ascii="Arial (W1)" w:hAnsi="Arial (W1)"/>
                <w:b/>
                <w:bCs/>
                <w:noProof w:val="0"/>
                <w:sz w:val="28"/>
                <w:szCs w:val="28"/>
                <w:rtl/>
              </w:rPr>
            </w:pPr>
          </w:p>
          <w:p w:rsidR="000D758D" w:rsidRDefault="000D758D" w:rsidP="004F22EC">
            <w:pPr>
              <w:rPr>
                <w:rFonts w:ascii="Arial (W1)" w:hAnsi="Arial (W1)"/>
                <w:b/>
                <w:bCs/>
                <w:noProof w:val="0"/>
                <w:sz w:val="28"/>
                <w:szCs w:val="28"/>
                <w:rtl/>
              </w:rPr>
            </w:pPr>
          </w:p>
          <w:p w:rsidR="000D758D" w:rsidRPr="000D758D" w:rsidRDefault="000D758D" w:rsidP="004F22EC">
            <w:pPr>
              <w:rPr>
                <w:rFonts w:ascii="Arial (W1)" w:hAnsi="Arial (W1)"/>
                <w:b/>
                <w:bCs/>
                <w:noProof w:val="0"/>
                <w:rtl/>
              </w:rPr>
            </w:pPr>
          </w:p>
          <w:p w:rsidR="00AE029F" w:rsidRDefault="00AE029F" w:rsidP="00AE029F">
            <w:pPr>
              <w:rPr>
                <w:rFonts w:ascii="Arial (W1)" w:hAnsi="Arial (W1)"/>
                <w:b/>
                <w:bCs/>
                <w:noProof w:val="0"/>
                <w:sz w:val="28"/>
                <w:szCs w:val="28"/>
                <w:rtl/>
              </w:rPr>
            </w:pPr>
            <w:r w:rsidRPr="00AE029F">
              <w:rPr>
                <w:rFonts w:ascii="Arial (W1)" w:hAnsi="Arial (W1)" w:hint="cs"/>
                <w:b/>
                <w:bCs/>
                <w:noProof w:val="0"/>
                <w:rtl/>
              </w:rPr>
              <w:t xml:space="preserve">הנתבעת </w:t>
            </w:r>
            <w:r>
              <w:rPr>
                <w:rFonts w:ascii="Arial (W1)" w:hAnsi="Arial (W1)" w:hint="cs"/>
                <w:b/>
                <w:bCs/>
                <w:noProof w:val="0"/>
                <w:rtl/>
              </w:rPr>
              <w:t>1</w:t>
            </w:r>
            <w:r w:rsidRPr="00AE029F">
              <w:rPr>
                <w:rFonts w:ascii="Arial (W1)" w:hAnsi="Arial (W1)" w:hint="cs"/>
                <w:b/>
                <w:bCs/>
                <w:noProof w:val="0"/>
                <w:rtl/>
              </w:rPr>
              <w:t xml:space="preserve"> (ב</w:t>
            </w:r>
            <w:r w:rsidRPr="00AE029F">
              <w:rPr>
                <w:rFonts w:ascii="Arial (W1)" w:hAnsi="Arial (W1)"/>
                <w:b/>
                <w:bCs/>
                <w:noProof w:val="0"/>
                <w:rtl/>
              </w:rPr>
              <w:t>תמ"ש 27575-12-20</w:t>
            </w:r>
            <w:r w:rsidRPr="00AE029F">
              <w:rPr>
                <w:rFonts w:ascii="Arial (W1)" w:hAnsi="Arial (W1)" w:hint="cs"/>
                <w:b/>
                <w:bCs/>
                <w:noProof w:val="0"/>
                <w:rtl/>
              </w:rPr>
              <w:t>)</w:t>
            </w:r>
          </w:p>
        </w:tc>
        <w:tc>
          <w:tcPr>
            <w:tcW w:w="5571" w:type="dxa"/>
          </w:tcPr>
          <w:p w:rsidR="006816EC" w:rsidRDefault="006816EC">
            <w:pPr>
              <w:rPr>
                <w:rFonts w:ascii="Arial (W1)" w:hAnsi="Arial (W1)"/>
                <w:b/>
                <w:bCs/>
                <w:noProof w:val="0"/>
                <w:sz w:val="28"/>
                <w:szCs w:val="28"/>
                <w:rtl/>
              </w:rPr>
            </w:pPr>
          </w:p>
          <w:p w:rsidR="006816EC" w:rsidRDefault="004F22EC" w:rsidP="005B7B29">
            <w:pPr>
              <w:rPr>
                <w:rFonts w:ascii="Arial (W1)" w:hAnsi="Arial (W1)"/>
                <w:b/>
                <w:bCs/>
                <w:noProof w:val="0"/>
                <w:sz w:val="28"/>
                <w:szCs w:val="28"/>
              </w:rPr>
            </w:pPr>
            <w:r>
              <w:rPr>
                <w:rFonts w:hint="cs"/>
                <w:b/>
                <w:bCs/>
                <w:noProof w:val="0"/>
                <w:sz w:val="28"/>
                <w:rtl/>
              </w:rPr>
              <w:t>1</w:t>
            </w:r>
            <w:r w:rsidR="006816EC">
              <w:rPr>
                <w:rFonts w:hint="cs"/>
                <w:b/>
                <w:bCs/>
                <w:noProof w:val="0"/>
                <w:sz w:val="28"/>
                <w:rtl/>
              </w:rPr>
              <w:t>.</w:t>
            </w:r>
            <w:r w:rsidR="005B7B29">
              <w:rPr>
                <w:rFonts w:hint="cs"/>
                <w:b/>
                <w:bCs/>
                <w:noProof w:val="0"/>
                <w:sz w:val="28"/>
                <w:rtl/>
              </w:rPr>
              <w:t>ג. נ.</w:t>
            </w:r>
            <w:r w:rsidR="009C358E" w:rsidRPr="009C358E">
              <w:rPr>
                <w:rFonts w:hint="cs"/>
                <w:b/>
                <w:bCs/>
                <w:noProof w:val="0"/>
                <w:sz w:val="28"/>
                <w:rtl/>
              </w:rPr>
              <w:t xml:space="preserve"> </w:t>
            </w:r>
          </w:p>
          <w:p w:rsidR="006816EC" w:rsidRDefault="004F22EC" w:rsidP="005B7B29">
            <w:pPr>
              <w:rPr>
                <w:rFonts w:ascii="Arial (W1)" w:hAnsi="Arial (W1)"/>
                <w:b/>
                <w:bCs/>
                <w:noProof w:val="0"/>
                <w:sz w:val="28"/>
                <w:szCs w:val="28"/>
              </w:rPr>
            </w:pPr>
            <w:r>
              <w:rPr>
                <w:rFonts w:hint="cs"/>
                <w:b/>
                <w:bCs/>
                <w:noProof w:val="0"/>
                <w:sz w:val="28"/>
                <w:rtl/>
              </w:rPr>
              <w:t>2</w:t>
            </w:r>
            <w:r w:rsidR="006816EC">
              <w:rPr>
                <w:rFonts w:hint="cs"/>
                <w:b/>
                <w:bCs/>
                <w:noProof w:val="0"/>
                <w:sz w:val="28"/>
                <w:rtl/>
              </w:rPr>
              <w:t>.</w:t>
            </w:r>
            <w:r w:rsidR="005B7B29">
              <w:rPr>
                <w:rFonts w:hint="cs"/>
                <w:b/>
                <w:bCs/>
                <w:noProof w:val="0"/>
                <w:sz w:val="28"/>
                <w:rtl/>
              </w:rPr>
              <w:t>ע. נ.</w:t>
            </w:r>
            <w:r w:rsidR="009C358E" w:rsidRPr="009C358E">
              <w:rPr>
                <w:rFonts w:hint="cs"/>
                <w:b/>
                <w:bCs/>
                <w:noProof w:val="0"/>
                <w:sz w:val="28"/>
                <w:rtl/>
              </w:rPr>
              <w:t xml:space="preserve"> </w:t>
            </w:r>
          </w:p>
          <w:p w:rsidR="006816EC" w:rsidRDefault="004F22EC" w:rsidP="005B7B29">
            <w:pPr>
              <w:rPr>
                <w:rFonts w:ascii="Arial (W1)" w:hAnsi="Arial (W1)"/>
                <w:b/>
                <w:bCs/>
                <w:noProof w:val="0"/>
                <w:sz w:val="28"/>
                <w:szCs w:val="28"/>
              </w:rPr>
            </w:pPr>
            <w:r>
              <w:rPr>
                <w:rFonts w:hint="cs"/>
                <w:b/>
                <w:bCs/>
                <w:noProof w:val="0"/>
                <w:sz w:val="28"/>
                <w:rtl/>
              </w:rPr>
              <w:t>3</w:t>
            </w:r>
            <w:r w:rsidR="006816EC">
              <w:rPr>
                <w:rFonts w:hint="cs"/>
                <w:b/>
                <w:bCs/>
                <w:noProof w:val="0"/>
                <w:sz w:val="28"/>
                <w:rtl/>
              </w:rPr>
              <w:t>.</w:t>
            </w:r>
            <w:r w:rsidR="005B7B29">
              <w:rPr>
                <w:rFonts w:hint="cs"/>
                <w:b/>
                <w:bCs/>
                <w:noProof w:val="0"/>
                <w:sz w:val="28"/>
                <w:rtl/>
              </w:rPr>
              <w:t>ד. נ.</w:t>
            </w:r>
            <w:r w:rsidR="009C358E" w:rsidRPr="009C358E">
              <w:rPr>
                <w:rFonts w:hint="cs"/>
                <w:b/>
                <w:bCs/>
                <w:noProof w:val="0"/>
                <w:sz w:val="28"/>
                <w:rtl/>
              </w:rPr>
              <w:t xml:space="preserve"> </w:t>
            </w:r>
          </w:p>
          <w:p w:rsidR="006816EC" w:rsidRDefault="004F22EC" w:rsidP="005B7B29">
            <w:pPr>
              <w:rPr>
                <w:rFonts w:ascii="Arial (W1)" w:hAnsi="Arial (W1)"/>
                <w:b/>
                <w:bCs/>
                <w:noProof w:val="0"/>
                <w:sz w:val="28"/>
                <w:szCs w:val="28"/>
              </w:rPr>
            </w:pPr>
            <w:r>
              <w:rPr>
                <w:rFonts w:hint="cs"/>
                <w:b/>
                <w:bCs/>
                <w:noProof w:val="0"/>
                <w:sz w:val="28"/>
                <w:rtl/>
              </w:rPr>
              <w:t>4</w:t>
            </w:r>
            <w:r w:rsidR="006816EC">
              <w:rPr>
                <w:rFonts w:hint="cs"/>
                <w:b/>
                <w:bCs/>
                <w:noProof w:val="0"/>
                <w:sz w:val="28"/>
                <w:rtl/>
              </w:rPr>
              <w:t>.</w:t>
            </w:r>
            <w:r w:rsidR="005B7B29">
              <w:rPr>
                <w:rFonts w:hint="cs"/>
                <w:b/>
                <w:bCs/>
                <w:noProof w:val="0"/>
                <w:sz w:val="28"/>
                <w:rtl/>
              </w:rPr>
              <w:t>א. ח.</w:t>
            </w:r>
            <w:r w:rsidR="009C358E" w:rsidRPr="009C358E">
              <w:rPr>
                <w:rFonts w:hint="cs"/>
                <w:b/>
                <w:bCs/>
                <w:noProof w:val="0"/>
                <w:sz w:val="28"/>
                <w:rtl/>
              </w:rPr>
              <w:t xml:space="preserve"> </w:t>
            </w:r>
          </w:p>
          <w:p w:rsidR="006816EC" w:rsidRDefault="004F22EC" w:rsidP="005B7B29">
            <w:pPr>
              <w:rPr>
                <w:rFonts w:ascii="Arial (W1)" w:hAnsi="Arial (W1)"/>
                <w:b/>
                <w:bCs/>
                <w:noProof w:val="0"/>
                <w:sz w:val="28"/>
                <w:szCs w:val="28"/>
              </w:rPr>
            </w:pPr>
            <w:r>
              <w:rPr>
                <w:rFonts w:hint="cs"/>
                <w:b/>
                <w:bCs/>
                <w:noProof w:val="0"/>
                <w:sz w:val="28"/>
                <w:rtl/>
              </w:rPr>
              <w:t>5</w:t>
            </w:r>
            <w:r w:rsidR="006816EC">
              <w:rPr>
                <w:rFonts w:hint="cs"/>
                <w:b/>
                <w:bCs/>
                <w:noProof w:val="0"/>
                <w:sz w:val="28"/>
                <w:rtl/>
              </w:rPr>
              <w:t>.</w:t>
            </w:r>
            <w:r w:rsidR="005B7B29">
              <w:rPr>
                <w:rFonts w:hint="cs"/>
                <w:b/>
                <w:bCs/>
                <w:noProof w:val="0"/>
                <w:sz w:val="28"/>
                <w:rtl/>
              </w:rPr>
              <w:t>ק. ד.</w:t>
            </w:r>
            <w:r w:rsidR="009C358E" w:rsidRPr="009C358E">
              <w:rPr>
                <w:rFonts w:hint="cs"/>
                <w:b/>
                <w:bCs/>
                <w:noProof w:val="0"/>
                <w:sz w:val="28"/>
                <w:rtl/>
              </w:rPr>
              <w:t xml:space="preserve"> </w:t>
            </w:r>
          </w:p>
          <w:p w:rsidR="006816EC" w:rsidRDefault="00185B6B" w:rsidP="005B7B29">
            <w:pPr>
              <w:rPr>
                <w:rFonts w:ascii="Arial (W1)" w:hAnsi="Arial (W1)"/>
                <w:b/>
                <w:bCs/>
                <w:noProof w:val="0"/>
                <w:sz w:val="28"/>
                <w:szCs w:val="28"/>
              </w:rPr>
            </w:pPr>
            <w:r>
              <w:rPr>
                <w:rFonts w:hint="cs"/>
                <w:b/>
                <w:bCs/>
                <w:noProof w:val="0"/>
                <w:sz w:val="28"/>
                <w:rtl/>
              </w:rPr>
              <w:t>6</w:t>
            </w:r>
            <w:r w:rsidR="006816EC">
              <w:rPr>
                <w:rFonts w:hint="cs"/>
                <w:b/>
                <w:bCs/>
                <w:noProof w:val="0"/>
                <w:sz w:val="28"/>
                <w:rtl/>
              </w:rPr>
              <w:t>.</w:t>
            </w:r>
            <w:r w:rsidR="005B7B29">
              <w:rPr>
                <w:rFonts w:hint="cs"/>
                <w:b/>
                <w:bCs/>
                <w:noProof w:val="0"/>
                <w:sz w:val="28"/>
                <w:rtl/>
              </w:rPr>
              <w:t>י. ב.</w:t>
            </w:r>
            <w:r w:rsidR="009C358E" w:rsidRPr="009C358E">
              <w:rPr>
                <w:rFonts w:hint="cs"/>
                <w:b/>
                <w:bCs/>
                <w:noProof w:val="0"/>
                <w:sz w:val="28"/>
                <w:rtl/>
              </w:rPr>
              <w:t xml:space="preserve"> </w:t>
            </w:r>
          </w:p>
          <w:p w:rsidR="006816EC" w:rsidRDefault="00185B6B" w:rsidP="005B7B29">
            <w:pPr>
              <w:rPr>
                <w:rFonts w:ascii="Arial (W1)" w:hAnsi="Arial (W1)"/>
                <w:b/>
                <w:bCs/>
                <w:noProof w:val="0"/>
                <w:sz w:val="28"/>
                <w:szCs w:val="28"/>
              </w:rPr>
            </w:pPr>
            <w:r>
              <w:rPr>
                <w:rFonts w:hint="cs"/>
                <w:b/>
                <w:bCs/>
                <w:noProof w:val="0"/>
                <w:sz w:val="28"/>
                <w:rtl/>
              </w:rPr>
              <w:t>7</w:t>
            </w:r>
            <w:r w:rsidR="006816EC">
              <w:rPr>
                <w:rFonts w:hint="cs"/>
                <w:b/>
                <w:bCs/>
                <w:noProof w:val="0"/>
                <w:sz w:val="28"/>
                <w:rtl/>
              </w:rPr>
              <w:t>.</w:t>
            </w:r>
            <w:r w:rsidR="005B7B29">
              <w:rPr>
                <w:rFonts w:hint="cs"/>
                <w:b/>
                <w:bCs/>
                <w:noProof w:val="0"/>
                <w:sz w:val="28"/>
                <w:rtl/>
              </w:rPr>
              <w:t>ל. ח.</w:t>
            </w:r>
            <w:r w:rsidR="009C358E" w:rsidRPr="009C358E">
              <w:rPr>
                <w:rFonts w:hint="cs"/>
                <w:b/>
                <w:bCs/>
                <w:noProof w:val="0"/>
                <w:sz w:val="28"/>
                <w:rtl/>
              </w:rPr>
              <w:t xml:space="preserve"> </w:t>
            </w:r>
          </w:p>
          <w:p w:rsidR="006816EC" w:rsidRDefault="00185B6B" w:rsidP="005B7B29">
            <w:pPr>
              <w:rPr>
                <w:rFonts w:ascii="Arial (W1)" w:hAnsi="Arial (W1)"/>
                <w:b/>
                <w:bCs/>
                <w:noProof w:val="0"/>
                <w:sz w:val="28"/>
                <w:szCs w:val="28"/>
              </w:rPr>
            </w:pPr>
            <w:r>
              <w:rPr>
                <w:rFonts w:hint="cs"/>
                <w:b/>
                <w:bCs/>
                <w:noProof w:val="0"/>
                <w:sz w:val="28"/>
                <w:rtl/>
              </w:rPr>
              <w:t>8</w:t>
            </w:r>
            <w:r w:rsidR="006816EC">
              <w:rPr>
                <w:rFonts w:hint="cs"/>
                <w:b/>
                <w:bCs/>
                <w:noProof w:val="0"/>
                <w:sz w:val="28"/>
                <w:rtl/>
              </w:rPr>
              <w:t>.</w:t>
            </w:r>
            <w:r w:rsidR="005B7B29">
              <w:rPr>
                <w:rFonts w:hint="cs"/>
                <w:b/>
                <w:bCs/>
                <w:noProof w:val="0"/>
                <w:sz w:val="28"/>
                <w:rtl/>
              </w:rPr>
              <w:t xml:space="preserve">מ. נ. </w:t>
            </w:r>
          </w:p>
          <w:p w:rsidR="006816EC" w:rsidRDefault="00185B6B" w:rsidP="005B7B29">
            <w:pPr>
              <w:rPr>
                <w:rFonts w:ascii="Arial (W1)" w:hAnsi="Arial (W1)"/>
                <w:b/>
                <w:bCs/>
                <w:noProof w:val="0"/>
                <w:sz w:val="28"/>
                <w:szCs w:val="28"/>
              </w:rPr>
            </w:pPr>
            <w:r>
              <w:rPr>
                <w:rFonts w:hint="cs"/>
                <w:b/>
                <w:bCs/>
                <w:noProof w:val="0"/>
                <w:sz w:val="28"/>
                <w:rtl/>
              </w:rPr>
              <w:t>9</w:t>
            </w:r>
            <w:r w:rsidR="006816EC">
              <w:rPr>
                <w:rFonts w:hint="cs"/>
                <w:b/>
                <w:bCs/>
                <w:noProof w:val="0"/>
                <w:sz w:val="28"/>
                <w:rtl/>
              </w:rPr>
              <w:t>.</w:t>
            </w:r>
            <w:r w:rsidR="005B7B29">
              <w:rPr>
                <w:rFonts w:hint="cs"/>
                <w:b/>
                <w:bCs/>
                <w:noProof w:val="0"/>
                <w:sz w:val="28"/>
                <w:rtl/>
              </w:rPr>
              <w:t>ש. ס. נ.</w:t>
            </w:r>
            <w:r w:rsidR="009C358E" w:rsidRPr="009C358E">
              <w:rPr>
                <w:rFonts w:hint="cs"/>
                <w:b/>
                <w:bCs/>
                <w:noProof w:val="0"/>
                <w:sz w:val="28"/>
                <w:rtl/>
              </w:rPr>
              <w:t xml:space="preserve"> </w:t>
            </w:r>
          </w:p>
          <w:p w:rsidR="006816EC" w:rsidRDefault="00185B6B" w:rsidP="00185B6B">
            <w:pPr>
              <w:rPr>
                <w:rFonts w:ascii="Arial (W1)" w:hAnsi="Arial (W1)"/>
                <w:b/>
                <w:bCs/>
                <w:noProof w:val="0"/>
                <w:sz w:val="28"/>
                <w:szCs w:val="28"/>
                <w:rtl/>
              </w:rPr>
            </w:pPr>
            <w:r>
              <w:rPr>
                <w:rFonts w:hint="cs"/>
                <w:b/>
                <w:bCs/>
                <w:noProof w:val="0"/>
                <w:sz w:val="28"/>
                <w:rtl/>
              </w:rPr>
              <w:t>10</w:t>
            </w:r>
            <w:r w:rsidR="006816EC">
              <w:rPr>
                <w:rFonts w:hint="cs"/>
                <w:b/>
                <w:bCs/>
                <w:noProof w:val="0"/>
                <w:sz w:val="28"/>
                <w:rtl/>
              </w:rPr>
              <w:t>.</w:t>
            </w:r>
            <w:r w:rsidR="005B7B29">
              <w:rPr>
                <w:rFonts w:hint="cs"/>
                <w:b/>
                <w:bCs/>
                <w:noProof w:val="0"/>
                <w:sz w:val="28"/>
                <w:rtl/>
              </w:rPr>
              <w:t>צ. מ.</w:t>
            </w:r>
            <w:r w:rsidR="009C358E" w:rsidRPr="009C358E">
              <w:rPr>
                <w:rFonts w:hint="cs"/>
                <w:b/>
                <w:bCs/>
                <w:noProof w:val="0"/>
                <w:sz w:val="28"/>
                <w:rtl/>
              </w:rPr>
              <w:t xml:space="preserve"> </w:t>
            </w:r>
          </w:p>
          <w:p w:rsidR="000D758D" w:rsidRDefault="00A62AB9" w:rsidP="000D758D">
            <w:pPr>
              <w:rPr>
                <w:rFonts w:ascii="Arial (W1)" w:hAnsi="Arial (W1)"/>
                <w:b/>
                <w:bCs/>
                <w:noProof w:val="0"/>
                <w:rtl/>
              </w:rPr>
            </w:pPr>
            <w:r>
              <w:rPr>
                <w:rFonts w:ascii="Arial (W1)" w:hAnsi="Arial (W1)"/>
                <w:b/>
                <w:bCs/>
                <w:noProof w:val="0"/>
                <w:rtl/>
              </w:rPr>
              <w:t>ע"י ב"כ עוה"ד שמואל כהן</w:t>
            </w:r>
            <w:r w:rsidR="000D758D">
              <w:rPr>
                <w:rFonts w:ascii="Arial (W1)" w:hAnsi="Arial (W1)" w:hint="cs"/>
                <w:b/>
                <w:bCs/>
                <w:noProof w:val="0"/>
                <w:sz w:val="28"/>
                <w:szCs w:val="28"/>
                <w:rtl/>
              </w:rPr>
              <w:t xml:space="preserve">         </w:t>
            </w:r>
          </w:p>
          <w:p w:rsidR="000D758D" w:rsidRPr="000D758D" w:rsidRDefault="000D758D" w:rsidP="000D758D">
            <w:pPr>
              <w:rPr>
                <w:rFonts w:ascii="Arial (W1)" w:hAnsi="Arial (W1)"/>
                <w:b/>
                <w:bCs/>
                <w:noProof w:val="0"/>
                <w:rtl/>
              </w:rPr>
            </w:pPr>
            <w:r>
              <w:rPr>
                <w:rFonts w:ascii="Arial (W1)" w:hAnsi="Arial (W1)" w:hint="cs"/>
                <w:b/>
                <w:bCs/>
                <w:noProof w:val="0"/>
                <w:rtl/>
              </w:rPr>
              <w:t xml:space="preserve">                                     (</w:t>
            </w:r>
            <w:r w:rsidRPr="00766766">
              <w:rPr>
                <w:rFonts w:ascii="Arial (W1)" w:hAnsi="Arial (W1)" w:hint="cs"/>
                <w:b/>
                <w:bCs/>
                <w:noProof w:val="0"/>
                <w:rtl/>
              </w:rPr>
              <w:t xml:space="preserve">התובעים </w:t>
            </w:r>
            <w:r>
              <w:rPr>
                <w:rFonts w:ascii="Arial (W1)" w:hAnsi="Arial (W1)" w:hint="cs"/>
                <w:b/>
                <w:bCs/>
                <w:noProof w:val="0"/>
                <w:rtl/>
              </w:rPr>
              <w:t xml:space="preserve">2-10 </w:t>
            </w:r>
            <w:r w:rsidRPr="00766766">
              <w:rPr>
                <w:rFonts w:ascii="Arial (W1)" w:hAnsi="Arial (W1)" w:hint="cs"/>
                <w:b/>
                <w:bCs/>
                <w:noProof w:val="0"/>
                <w:rtl/>
              </w:rPr>
              <w:t>ב</w:t>
            </w:r>
            <w:r>
              <w:rPr>
                <w:rFonts w:ascii="Arial (W1)" w:hAnsi="Arial (W1)"/>
                <w:b/>
                <w:bCs/>
                <w:noProof w:val="0"/>
                <w:rtl/>
              </w:rPr>
              <w:t>תמ"ש 27575-12-2</w:t>
            </w:r>
            <w:r>
              <w:rPr>
                <w:rFonts w:ascii="Arial (W1)" w:hAnsi="Arial (W1)" w:hint="cs"/>
                <w:b/>
                <w:bCs/>
                <w:noProof w:val="0"/>
                <w:rtl/>
              </w:rPr>
              <w:t>0)</w:t>
            </w:r>
          </w:p>
          <w:p w:rsidR="00A62AB9" w:rsidRDefault="00A62AB9" w:rsidP="00185B6B">
            <w:pPr>
              <w:rPr>
                <w:rFonts w:ascii="Arial (W1)" w:hAnsi="Arial (W1)"/>
                <w:b/>
                <w:bCs/>
                <w:noProof w:val="0"/>
                <w:sz w:val="28"/>
                <w:szCs w:val="28"/>
                <w:rtl/>
              </w:rPr>
            </w:pPr>
          </w:p>
          <w:p w:rsidR="00185B6B" w:rsidRDefault="00185B6B" w:rsidP="00185B6B">
            <w:pPr>
              <w:rPr>
                <w:rFonts w:ascii="Arial (W1)" w:hAnsi="Arial (W1)"/>
                <w:b/>
                <w:bCs/>
                <w:noProof w:val="0"/>
                <w:sz w:val="28"/>
                <w:szCs w:val="28"/>
                <w:rtl/>
              </w:rPr>
            </w:pPr>
          </w:p>
          <w:p w:rsidR="00185B6B" w:rsidRDefault="00185B6B" w:rsidP="00185B6B">
            <w:pPr>
              <w:rPr>
                <w:rFonts w:ascii="Arial (W1)" w:hAnsi="Arial (W1)"/>
                <w:b/>
                <w:bCs/>
                <w:noProof w:val="0"/>
                <w:sz w:val="28"/>
                <w:szCs w:val="28"/>
                <w:rtl/>
              </w:rPr>
            </w:pPr>
          </w:p>
          <w:p w:rsidR="00AE029F" w:rsidRDefault="005B7B29" w:rsidP="00185B6B">
            <w:pPr>
              <w:rPr>
                <w:rFonts w:ascii="Arial (W1)" w:hAnsi="Arial (W1)"/>
                <w:b/>
                <w:bCs/>
                <w:noProof w:val="0"/>
                <w:sz w:val="28"/>
                <w:szCs w:val="28"/>
                <w:rtl/>
              </w:rPr>
            </w:pPr>
            <w:r>
              <w:rPr>
                <w:rFonts w:ascii="Arial (W1)" w:hAnsi="Arial (W1)"/>
                <w:b/>
                <w:bCs/>
                <w:noProof w:val="0"/>
                <w:rtl/>
              </w:rPr>
              <w:t xml:space="preserve">א. נ. </w:t>
            </w:r>
          </w:p>
          <w:p w:rsidR="00A62AB9" w:rsidRDefault="00A62AB9" w:rsidP="00185B6B">
            <w:pPr>
              <w:rPr>
                <w:rFonts w:ascii="Arial (W1)" w:hAnsi="Arial (W1)"/>
                <w:b/>
                <w:bCs/>
                <w:noProof w:val="0"/>
                <w:sz w:val="28"/>
                <w:szCs w:val="28"/>
                <w:rtl/>
              </w:rPr>
            </w:pPr>
            <w:r w:rsidRPr="00AE029F">
              <w:rPr>
                <w:rFonts w:ascii="Arial (W1)" w:hAnsi="Arial (W1)"/>
                <w:b/>
                <w:bCs/>
                <w:noProof w:val="0"/>
                <w:rtl/>
              </w:rPr>
              <w:t>ע</w:t>
            </w:r>
            <w:r>
              <w:rPr>
                <w:rFonts w:ascii="Arial (W1)" w:hAnsi="Arial (W1)"/>
                <w:b/>
                <w:bCs/>
                <w:noProof w:val="0"/>
                <w:rtl/>
              </w:rPr>
              <w:t>"י ב"כ עוה"ד אברהם שמש ואייל בוטון</w:t>
            </w:r>
          </w:p>
        </w:tc>
      </w:tr>
      <w:tr w:rsidR="00D36A71" w:rsidTr="00A94B1C">
        <w:trPr>
          <w:jc w:val="center"/>
        </w:trPr>
        <w:tc>
          <w:tcPr>
            <w:tcW w:w="8820" w:type="dxa"/>
            <w:gridSpan w:val="3"/>
          </w:tcPr>
          <w:p w:rsidR="00D36A71" w:rsidRPr="00185B6B"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4F22EC" w:rsidRDefault="004F22EC" w:rsidP="005B7B29">
            <w:pPr>
              <w:rPr>
                <w:rFonts w:ascii="Arial (W1)" w:hAnsi="Arial (W1)"/>
                <w:b/>
                <w:bCs/>
                <w:noProof w:val="0"/>
                <w:sz w:val="28"/>
                <w:szCs w:val="28"/>
              </w:rPr>
            </w:pPr>
            <w:r w:rsidRPr="004F22EC">
              <w:rPr>
                <w:rFonts w:ascii="Arial (W1)" w:hAnsi="Arial (W1)" w:hint="cs"/>
                <w:b/>
                <w:bCs/>
                <w:noProof w:val="0"/>
                <w:rtl/>
              </w:rPr>
              <w:t>בעניין</w:t>
            </w:r>
            <w:r>
              <w:rPr>
                <w:rFonts w:ascii="Arial (W1)" w:hAnsi="Arial (W1)" w:hint="cs"/>
                <w:b/>
                <w:bCs/>
                <w:noProof w:val="0"/>
                <w:sz w:val="28"/>
                <w:szCs w:val="28"/>
                <w:rtl/>
              </w:rPr>
              <w:t xml:space="preserve">    </w:t>
            </w:r>
            <w:r w:rsidR="005B7B29">
              <w:rPr>
                <w:rFonts w:hint="cs"/>
                <w:b/>
                <w:bCs/>
                <w:noProof w:val="0"/>
                <w:sz w:val="28"/>
                <w:rtl/>
              </w:rPr>
              <w:t>נ. א.</w:t>
            </w:r>
            <w:r>
              <w:rPr>
                <w:rFonts w:hint="cs"/>
                <w:b/>
                <w:bCs/>
                <w:noProof w:val="0"/>
                <w:sz w:val="28"/>
                <w:rtl/>
              </w:rPr>
              <w:t xml:space="preserve"> (המנוח)</w:t>
            </w:r>
          </w:p>
          <w:p w:rsidR="00D36A71" w:rsidRPr="004F22EC" w:rsidRDefault="00D36A71">
            <w:pPr>
              <w:rPr>
                <w:rFonts w:ascii="Arial (W1)" w:hAnsi="Arial (W1)"/>
                <w:b/>
                <w:bCs/>
                <w:noProof w:val="0"/>
                <w:sz w:val="28"/>
                <w:szCs w:val="28"/>
                <w:rtl/>
              </w:rPr>
            </w:pPr>
          </w:p>
        </w:tc>
      </w:tr>
      <w:tr w:rsidR="00D36A71" w:rsidTr="006816EC">
        <w:trPr>
          <w:jc w:val="center"/>
        </w:trPr>
        <w:tc>
          <w:tcPr>
            <w:tcW w:w="3249" w:type="dxa"/>
            <w:gridSpan w:val="2"/>
          </w:tcPr>
          <w:p w:rsidR="005366A9" w:rsidRDefault="005366A9">
            <w:pPr>
              <w:rPr>
                <w:rFonts w:ascii="David" w:eastAsia="David" w:hAnsi="David"/>
                <w:noProof w:val="0"/>
              </w:rPr>
            </w:pPr>
          </w:p>
        </w:tc>
        <w:tc>
          <w:tcPr>
            <w:tcW w:w="5571" w:type="dxa"/>
          </w:tcPr>
          <w:p w:rsidR="005366A9" w:rsidRDefault="005366A9">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rPr>
          <w:rtl/>
        </w:rPr>
      </w:pPr>
    </w:p>
    <w:p w:rsidR="0021295B" w:rsidRDefault="0021295B"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11F4D" w:rsidRDefault="00511F4D" w:rsidP="00511F4D">
      <w:pPr>
        <w:spacing w:line="360" w:lineRule="auto"/>
        <w:jc w:val="both"/>
        <w:rPr>
          <w:rFonts w:ascii="Arial" w:hAnsi="Arial"/>
          <w:noProof w:val="0"/>
        </w:rPr>
      </w:pPr>
      <w:r>
        <w:rPr>
          <w:rFonts w:ascii="Arial" w:hAnsi="Arial"/>
          <w:noProof w:val="0"/>
          <w:rtl/>
        </w:rPr>
        <w:t>לפני תובענה לפס"ד הצהרתי (ת"ע 7772-12-19), שהיא למעשה תביעה לקביעת היקף עיזבון המנוח, בה ביקש התובע לקבוע כי המנוח לא יכל להוריש בצוואתו את הזכות לקבלת דמי שכירות ממנו וכן להורות כי לתובע ולמשפחתו זכות מגורים בלתי הדירה במשק עד למועד מכירת הזכויות בו או עד לפירוק השיתוף בו.</w:t>
      </w:r>
    </w:p>
    <w:p w:rsidR="00511F4D" w:rsidRDefault="00511F4D" w:rsidP="00511F4D">
      <w:pPr>
        <w:spacing w:line="360" w:lineRule="auto"/>
        <w:jc w:val="both"/>
        <w:rPr>
          <w:rFonts w:ascii="Arial" w:hAnsi="Arial"/>
          <w:noProof w:val="0"/>
          <w:rtl/>
        </w:rPr>
      </w:pPr>
    </w:p>
    <w:p w:rsidR="00511F4D" w:rsidRDefault="000D758D" w:rsidP="000D758D">
      <w:pPr>
        <w:spacing w:line="360" w:lineRule="auto"/>
        <w:jc w:val="both"/>
        <w:rPr>
          <w:rFonts w:ascii="Arial" w:hAnsi="Arial"/>
          <w:noProof w:val="0"/>
          <w:rtl/>
        </w:rPr>
      </w:pPr>
      <w:r>
        <w:rPr>
          <w:rFonts w:ascii="Arial" w:hAnsi="Arial" w:hint="cs"/>
          <w:noProof w:val="0"/>
          <w:rtl/>
        </w:rPr>
        <w:t>להלן אכריע גם כן בתביעה נוספת, ש</w:t>
      </w:r>
      <w:r w:rsidR="00511F4D">
        <w:rPr>
          <w:rFonts w:ascii="Arial" w:hAnsi="Arial"/>
          <w:noProof w:val="0"/>
          <w:rtl/>
        </w:rPr>
        <w:t xml:space="preserve">הגישו הנתבעים </w:t>
      </w:r>
      <w:r>
        <w:rPr>
          <w:rFonts w:ascii="Arial" w:hAnsi="Arial" w:hint="cs"/>
          <w:noProof w:val="0"/>
          <w:rtl/>
        </w:rPr>
        <w:t xml:space="preserve">מאוחר יותר, </w:t>
      </w:r>
      <w:r w:rsidR="00511F4D">
        <w:rPr>
          <w:rFonts w:ascii="Arial" w:hAnsi="Arial"/>
          <w:noProof w:val="0"/>
          <w:rtl/>
        </w:rPr>
        <w:t xml:space="preserve">לחיוב התובע וגרושתו (הנתבעים </w:t>
      </w:r>
      <w:r w:rsidR="00511F4D">
        <w:rPr>
          <w:rFonts w:ascii="Arial (W1)" w:hAnsi="Arial (W1)"/>
          <w:noProof w:val="0"/>
          <w:rtl/>
        </w:rPr>
        <w:t>בתמ"ש 27575-12-20)</w:t>
      </w:r>
      <w:r w:rsidR="00511F4D">
        <w:rPr>
          <w:rFonts w:ascii="Arial" w:hAnsi="Arial"/>
          <w:noProof w:val="0"/>
          <w:rtl/>
        </w:rPr>
        <w:t xml:space="preserve"> בתשלום שכ"ד או לפינויים ממנה וזאת מכוח הוראות צוואת המנוח.</w:t>
      </w:r>
    </w:p>
    <w:p w:rsidR="008C60C9" w:rsidRDefault="008C60C9" w:rsidP="00511F4D">
      <w:pPr>
        <w:spacing w:line="360" w:lineRule="auto"/>
        <w:jc w:val="both"/>
        <w:rPr>
          <w:rFonts w:ascii="Arial" w:hAnsi="Arial"/>
          <w:noProof w:val="0"/>
          <w:rtl/>
        </w:rPr>
      </w:pPr>
    </w:p>
    <w:p w:rsidR="00511F4D" w:rsidRDefault="00511F4D" w:rsidP="00511F4D">
      <w:pPr>
        <w:spacing w:line="360" w:lineRule="auto"/>
        <w:jc w:val="both"/>
        <w:rPr>
          <w:rFonts w:ascii="Arial" w:hAnsi="Arial"/>
          <w:noProof w:val="0"/>
          <w:rtl/>
        </w:rPr>
      </w:pPr>
      <w:r>
        <w:rPr>
          <w:rFonts w:ascii="Arial" w:hAnsi="Arial"/>
          <w:noProof w:val="0"/>
          <w:rtl/>
        </w:rPr>
        <w:t>לנוכח הקשר ההדוק שבין ש</w:t>
      </w:r>
      <w:r w:rsidR="008C60C9">
        <w:rPr>
          <w:rFonts w:ascii="Arial" w:hAnsi="Arial" w:hint="cs"/>
          <w:noProof w:val="0"/>
          <w:rtl/>
        </w:rPr>
        <w:t>נ</w:t>
      </w:r>
      <w:r>
        <w:rPr>
          <w:rFonts w:ascii="Arial" w:hAnsi="Arial"/>
          <w:noProof w:val="0"/>
          <w:rtl/>
        </w:rPr>
        <w:t xml:space="preserve">י ההליכים, פסקי הדין יינתנו במאוחד בשתי התובענות. </w:t>
      </w:r>
    </w:p>
    <w:p w:rsidR="00511F4D" w:rsidRDefault="00511F4D" w:rsidP="00511F4D">
      <w:pPr>
        <w:spacing w:line="360" w:lineRule="auto"/>
        <w:jc w:val="both"/>
        <w:rPr>
          <w:rFonts w:ascii="Arial" w:hAnsi="Arial"/>
          <w:noProof w:val="0"/>
          <w:rtl/>
        </w:rPr>
      </w:pPr>
    </w:p>
    <w:p w:rsidR="00511F4D" w:rsidRDefault="00511F4D" w:rsidP="00511F4D">
      <w:pPr>
        <w:spacing w:line="360" w:lineRule="auto"/>
        <w:jc w:val="both"/>
        <w:rPr>
          <w:rFonts w:ascii="Arial" w:hAnsi="Arial"/>
          <w:b/>
          <w:bCs/>
          <w:noProof w:val="0"/>
          <w:u w:val="single"/>
          <w:rtl/>
        </w:rPr>
      </w:pPr>
      <w:r>
        <w:rPr>
          <w:rFonts w:ascii="Arial" w:hAnsi="Arial"/>
          <w:b/>
          <w:bCs/>
          <w:noProof w:val="0"/>
          <w:u w:val="single"/>
          <w:rtl/>
        </w:rPr>
        <w:t>רקע כללי ודיוני:</w:t>
      </w: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התובע והנתבעים 2-10 בת"ע 7772-12-19 </w:t>
      </w:r>
      <w:r w:rsidR="000D758D">
        <w:rPr>
          <w:rFonts w:ascii="Arial" w:hAnsi="Arial" w:hint="cs"/>
          <w:noProof w:val="0"/>
          <w:rtl/>
        </w:rPr>
        <w:t xml:space="preserve">(התובעים </w:t>
      </w:r>
      <w:r w:rsidR="000D758D">
        <w:rPr>
          <w:rFonts w:ascii="Arial" w:hAnsi="Arial"/>
          <w:noProof w:val="0"/>
          <w:rtl/>
        </w:rPr>
        <w:t>בתמ"ש 27575-12-20</w:t>
      </w:r>
      <w:r w:rsidR="000D758D">
        <w:rPr>
          <w:rFonts w:ascii="Arial" w:hAnsi="Arial" w:hint="cs"/>
          <w:noProof w:val="0"/>
          <w:rtl/>
        </w:rPr>
        <w:t xml:space="preserve">) </w:t>
      </w:r>
      <w:r>
        <w:rPr>
          <w:rFonts w:ascii="Arial" w:hAnsi="Arial"/>
          <w:noProof w:val="0"/>
          <w:rtl/>
        </w:rPr>
        <w:t xml:space="preserve">הינם ילדיו של המנוח מר </w:t>
      </w:r>
      <w:r w:rsidR="005B7B29">
        <w:rPr>
          <w:rFonts w:ascii="Arial" w:hAnsi="Arial"/>
          <w:noProof w:val="0"/>
          <w:rtl/>
        </w:rPr>
        <w:t>נ. א.</w:t>
      </w:r>
      <w:r>
        <w:rPr>
          <w:rFonts w:ascii="Arial" w:hAnsi="Arial"/>
          <w:noProof w:val="0"/>
          <w:rtl/>
        </w:rPr>
        <w:t xml:space="preserve"> ז"ל (להלן: "</w:t>
      </w:r>
      <w:r>
        <w:rPr>
          <w:rFonts w:ascii="Arial" w:hAnsi="Arial"/>
          <w:b/>
          <w:bCs/>
          <w:noProof w:val="0"/>
          <w:rtl/>
        </w:rPr>
        <w:t>המנוח</w:t>
      </w:r>
      <w:r>
        <w:rPr>
          <w:rFonts w:ascii="Arial" w:hAnsi="Arial"/>
          <w:noProof w:val="0"/>
          <w:rtl/>
        </w:rPr>
        <w:t xml:space="preserve">"). </w:t>
      </w:r>
    </w:p>
    <w:p w:rsidR="00511F4D" w:rsidRDefault="00511F4D" w:rsidP="00511F4D">
      <w:pPr>
        <w:pStyle w:val="ad"/>
        <w:spacing w:line="360" w:lineRule="auto"/>
        <w:jc w:val="both"/>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הנתבעת 1 (בת"ע 7772-12-19) הינה אלמנתו של המנוח ואימם של התובע והנתבעים 2-10.</w:t>
      </w:r>
    </w:p>
    <w:p w:rsidR="00511F4D" w:rsidRDefault="00511F4D" w:rsidP="00511F4D">
      <w:pPr>
        <w:pStyle w:val="ad"/>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הגב' </w:t>
      </w:r>
      <w:r w:rsidR="005B7B29">
        <w:rPr>
          <w:rFonts w:ascii="Arial" w:hAnsi="Arial"/>
          <w:noProof w:val="0"/>
          <w:rtl/>
        </w:rPr>
        <w:t>א. נ.</w:t>
      </w:r>
      <w:r>
        <w:rPr>
          <w:rFonts w:ascii="Arial" w:hAnsi="Arial"/>
          <w:noProof w:val="0"/>
          <w:rtl/>
        </w:rPr>
        <w:t xml:space="preserve"> הינה גרושתו של התובע (ולמעשה בת זוגו) ושניהם הנתבעים בתמ"ש 27575-12-20 (אשר למען הנוחות, תיקרא להלן: גרושתו של התובע</w:t>
      </w:r>
      <w:r w:rsidR="008C60C9">
        <w:rPr>
          <w:rFonts w:ascii="Arial" w:hAnsi="Arial" w:hint="cs"/>
          <w:noProof w:val="0"/>
          <w:rtl/>
        </w:rPr>
        <w:t xml:space="preserve">, או הגב' </w:t>
      </w:r>
      <w:r w:rsidR="005B7B29">
        <w:rPr>
          <w:rFonts w:ascii="Arial" w:hAnsi="Arial" w:hint="cs"/>
          <w:noProof w:val="0"/>
          <w:rtl/>
        </w:rPr>
        <w:t>א. נ.</w:t>
      </w:r>
      <w:r>
        <w:rPr>
          <w:rFonts w:ascii="Arial" w:hAnsi="Arial"/>
          <w:noProof w:val="0"/>
          <w:rtl/>
        </w:rPr>
        <w:t>).</w:t>
      </w:r>
    </w:p>
    <w:p w:rsidR="00511F4D" w:rsidRDefault="00511F4D" w:rsidP="00511F4D">
      <w:pPr>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המנוח ערך צוואה בכתב ביום 14.01.2019 ונפטר ביום 14.03.2019. </w:t>
      </w:r>
    </w:p>
    <w:p w:rsidR="00511F4D" w:rsidRDefault="00511F4D" w:rsidP="00511F4D">
      <w:pPr>
        <w:pStyle w:val="ad"/>
        <w:spacing w:line="360" w:lineRule="auto"/>
        <w:jc w:val="both"/>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ביום 03.12.2019 הגיש התובע תביעה לפס"ד הצהרתי (ת"ע 7772-12-19) וזאת עוד בטרם נקבעה זהות היורשים ובשעה שבפני ביהמ"ש עוד היו מונחות תובענות לצו קיום צוואה והתנגדות לצוואה. </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ביום 13.09.2020 ניתן ע"י ביהמ"ש זה (כב' השופט בן שלו) צו לקיום צוואת המנוח וזאת לאחר שנמחקה, בהסכמה, התנגדות התובע לקיום הצוואה. </w:t>
      </w:r>
    </w:p>
    <w:p w:rsidR="00511F4D" w:rsidRDefault="00511F4D" w:rsidP="00511F4D">
      <w:pPr>
        <w:pStyle w:val="ad"/>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ביום 13.12.2020 הגישו הנתבעים 2-10 תובענה לתשלום שכ"ד, או לפינוי התובע וגרושתו מהמשק (ע"פ נוסח כתב התביעה המתוקן בתמ"ש 27575-12-20 מיום 07.02.2021).</w:t>
      </w:r>
    </w:p>
    <w:p w:rsidR="00511F4D" w:rsidRDefault="00511F4D" w:rsidP="00511F4D">
      <w:pPr>
        <w:pStyle w:val="ad"/>
        <w:rPr>
          <w:rFonts w:ascii="Arial" w:hAnsi="Arial"/>
          <w:noProof w:val="0"/>
        </w:rPr>
      </w:pPr>
    </w:p>
    <w:p w:rsidR="00511F4D" w:rsidRDefault="00511F4D" w:rsidP="00511F4D">
      <w:pPr>
        <w:pStyle w:val="ad"/>
        <w:spacing w:line="360" w:lineRule="auto"/>
        <w:jc w:val="both"/>
        <w:rPr>
          <w:rFonts w:ascii="Arial" w:hAnsi="Arial"/>
          <w:noProof w:val="0"/>
          <w:rtl/>
        </w:rPr>
      </w:pPr>
      <w:r>
        <w:rPr>
          <w:rFonts w:ascii="Arial" w:hAnsi="Arial"/>
          <w:noProof w:val="0"/>
          <w:rtl/>
        </w:rPr>
        <w:t>תביעה</w:t>
      </w:r>
      <w:r w:rsidR="008C60C9">
        <w:rPr>
          <w:rFonts w:ascii="Arial" w:hAnsi="Arial" w:hint="cs"/>
          <w:noProof w:val="0"/>
          <w:rtl/>
        </w:rPr>
        <w:t xml:space="preserve"> זו</w:t>
      </w:r>
      <w:r>
        <w:rPr>
          <w:rFonts w:ascii="Arial" w:hAnsi="Arial"/>
          <w:noProof w:val="0"/>
          <w:rtl/>
        </w:rPr>
        <w:t xml:space="preserve"> הוגשה תחילה לבית משפט השלום באשקלון והועברה להתברר בבית משפט זה, ע"פ החלטת כב' השופטת הבכירה סבין כהן מיום 13.1.2021.  </w:t>
      </w:r>
    </w:p>
    <w:p w:rsidR="00511F4D" w:rsidRDefault="00511F4D" w:rsidP="00511F4D">
      <w:pPr>
        <w:pStyle w:val="ad"/>
        <w:spacing w:line="360" w:lineRule="auto"/>
        <w:rPr>
          <w:rFonts w:ascii="Arial" w:hAnsi="Arial"/>
          <w:noProof w:val="0"/>
          <w:rtl/>
        </w:rPr>
      </w:pPr>
    </w:p>
    <w:p w:rsidR="00511F4D" w:rsidRDefault="00511F4D" w:rsidP="005B7B29">
      <w:pPr>
        <w:pStyle w:val="ad"/>
        <w:numPr>
          <w:ilvl w:val="0"/>
          <w:numId w:val="1"/>
        </w:numPr>
        <w:spacing w:line="360" w:lineRule="auto"/>
        <w:jc w:val="both"/>
        <w:rPr>
          <w:rFonts w:ascii="Arial" w:hAnsi="Arial"/>
          <w:noProof w:val="0"/>
        </w:rPr>
      </w:pPr>
      <w:r>
        <w:rPr>
          <w:rFonts w:ascii="Arial" w:hAnsi="Arial"/>
          <w:noProof w:val="0"/>
          <w:rtl/>
        </w:rPr>
        <w:t>המנוח היה בעלים של המ</w:t>
      </w:r>
      <w:r w:rsidR="005B7B29">
        <w:rPr>
          <w:rFonts w:ascii="Arial" w:hAnsi="Arial"/>
          <w:noProof w:val="0"/>
          <w:rtl/>
        </w:rPr>
        <w:t xml:space="preserve">שק ברחוב האלה 90, במושב </w:t>
      </w:r>
      <w:r w:rsidR="005B7B29">
        <w:rPr>
          <w:rFonts w:ascii="Arial" w:hAnsi="Arial" w:hint="cs"/>
          <w:noProof w:val="0"/>
        </w:rPr>
        <w:t>X</w:t>
      </w:r>
      <w:r w:rsidR="005B7B29">
        <w:rPr>
          <w:rFonts w:ascii="Arial" w:hAnsi="Arial"/>
          <w:noProof w:val="0"/>
          <w:rtl/>
        </w:rPr>
        <w:t>, הידוע כגוש</w:t>
      </w:r>
      <w:r w:rsidR="005B7B29">
        <w:rPr>
          <w:rFonts w:ascii="Arial" w:hAnsi="Arial" w:hint="cs"/>
          <w:noProof w:val="0"/>
          <w:rtl/>
        </w:rPr>
        <w:t>...</w:t>
      </w:r>
      <w:r w:rsidR="005B7B29">
        <w:rPr>
          <w:rFonts w:ascii="Arial" w:hAnsi="Arial"/>
          <w:noProof w:val="0"/>
          <w:rtl/>
        </w:rPr>
        <w:t>, חלקה</w:t>
      </w:r>
      <w:r w:rsidR="005B7B29">
        <w:rPr>
          <w:rFonts w:ascii="Arial" w:hAnsi="Arial" w:hint="cs"/>
          <w:noProof w:val="0"/>
          <w:rtl/>
        </w:rPr>
        <w:t>...</w:t>
      </w:r>
      <w:r>
        <w:rPr>
          <w:rFonts w:ascii="Arial" w:hAnsi="Arial"/>
          <w:noProof w:val="0"/>
          <w:rtl/>
        </w:rPr>
        <w:t>, הרשום על שמו ברשות מקרקעי ישראל (להלן: "</w:t>
      </w:r>
      <w:r>
        <w:rPr>
          <w:rFonts w:ascii="Arial" w:hAnsi="Arial"/>
          <w:b/>
          <w:bCs/>
          <w:noProof w:val="0"/>
          <w:rtl/>
        </w:rPr>
        <w:t>המשק</w:t>
      </w:r>
      <w:r>
        <w:rPr>
          <w:rFonts w:ascii="Arial" w:hAnsi="Arial"/>
          <w:noProof w:val="0"/>
          <w:rtl/>
        </w:rPr>
        <w:t>").</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בשטח המשק בנויים ביתו של המנוח ורעייתו (הנתבעת 1 בת"ע 7772-12-19) וכן בית שבנה התובע, בו הוא מתגורר עם גרושתו וילדיו וכן קרוואן שבו מתגורר הנתבע 9.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lastRenderedPageBreak/>
        <w:t xml:space="preserve">בצוואתו, ציווה המנוח את כל נכסיו וכל זכויותיו בחלקים שווים לכל ילדיו (התובע והנתבעים 2-10). כן ציווה המנוח שרעייתו, הנתבעת 1, תמשיך להתגורר בביתו כל ימי חייה ללא תשלום, וכי כל ההוצאות שיחולו על הבית לרבות מיסים, מים, חשמל, דמי חכירה, תיקונים, שיפוצים ועוד ישולמו מהכנסות שכ"ד (סעיף 6 לצוואה). </w:t>
      </w:r>
    </w:p>
    <w:p w:rsidR="00511F4D" w:rsidRDefault="00511F4D" w:rsidP="00511F4D">
      <w:pPr>
        <w:pStyle w:val="ad"/>
        <w:spacing w:line="360" w:lineRule="auto"/>
        <w:rPr>
          <w:rFonts w:ascii="Arial" w:hAnsi="Arial"/>
          <w:noProof w:val="0"/>
          <w:rtl/>
        </w:rPr>
      </w:pPr>
    </w:p>
    <w:p w:rsidR="00511F4D" w:rsidRDefault="00511F4D" w:rsidP="00511F4D">
      <w:pPr>
        <w:pStyle w:val="ad"/>
        <w:spacing w:line="360" w:lineRule="auto"/>
        <w:jc w:val="both"/>
        <w:rPr>
          <w:rFonts w:ascii="Arial" w:hAnsi="Arial"/>
          <w:noProof w:val="0"/>
        </w:rPr>
      </w:pPr>
      <w:r>
        <w:rPr>
          <w:rFonts w:ascii="Arial" w:hAnsi="Arial"/>
          <w:noProof w:val="0"/>
          <w:rtl/>
        </w:rPr>
        <w:t>עוד ציווה המנוח כי מאחר שהתובע השקיע מכספו בבניית הבית, בו הוא מתגורר עם משפחת</w:t>
      </w:r>
      <w:r w:rsidR="008C60C9">
        <w:rPr>
          <w:rFonts w:ascii="Arial" w:hAnsi="Arial"/>
          <w:noProof w:val="0"/>
          <w:rtl/>
        </w:rPr>
        <w:t>ו במשק, הם יוכלו לפנות את הבית</w:t>
      </w:r>
      <w:r w:rsidR="008C60C9">
        <w:rPr>
          <w:rFonts w:ascii="Arial" w:hAnsi="Arial" w:hint="cs"/>
          <w:noProof w:val="0"/>
          <w:rtl/>
        </w:rPr>
        <w:t xml:space="preserve">, </w:t>
      </w:r>
      <w:r>
        <w:rPr>
          <w:rFonts w:ascii="Arial" w:hAnsi="Arial"/>
          <w:noProof w:val="0"/>
          <w:rtl/>
        </w:rPr>
        <w:t>להשאירו לכל היורשים ולקבל פיצוי עבור הפינוי</w:t>
      </w:r>
      <w:r w:rsidR="008C60C9">
        <w:rPr>
          <w:rFonts w:ascii="Arial" w:hAnsi="Arial" w:hint="cs"/>
          <w:noProof w:val="0"/>
          <w:rtl/>
        </w:rPr>
        <w:t>,</w:t>
      </w:r>
      <w:r>
        <w:rPr>
          <w:rFonts w:ascii="Arial" w:hAnsi="Arial"/>
          <w:noProof w:val="0"/>
          <w:rtl/>
        </w:rPr>
        <w:t xml:space="preserve"> והוסיף כי ישולם לתובע סכום ההשקעה שהשקיע בבניית הבית, בקיזוז שכ"ד ראוי (כמפורט להלן) וזאת מיום פטירתו של המנוח ועד למועד הפינוי בפועל. </w:t>
      </w:r>
    </w:p>
    <w:p w:rsidR="00511F4D" w:rsidRDefault="00511F4D" w:rsidP="00511F4D">
      <w:pPr>
        <w:pStyle w:val="ad"/>
        <w:spacing w:line="360" w:lineRule="auto"/>
        <w:jc w:val="both"/>
        <w:rPr>
          <w:rFonts w:ascii="Arial" w:hAnsi="Arial"/>
          <w:noProof w:val="0"/>
          <w:rtl/>
        </w:rPr>
      </w:pPr>
    </w:p>
    <w:p w:rsidR="00511F4D" w:rsidRDefault="00511F4D" w:rsidP="00511F4D">
      <w:pPr>
        <w:pStyle w:val="ad"/>
        <w:spacing w:line="360" w:lineRule="auto"/>
        <w:jc w:val="both"/>
        <w:rPr>
          <w:rFonts w:ascii="Arial" w:hAnsi="Arial"/>
          <w:noProof w:val="0"/>
          <w:rtl/>
        </w:rPr>
      </w:pPr>
      <w:r>
        <w:rPr>
          <w:rFonts w:ascii="Arial" w:hAnsi="Arial"/>
          <w:noProof w:val="0"/>
          <w:rtl/>
        </w:rPr>
        <w:t>כמו כן, ציווה המנוח כי מאחר שהתובע והנתבע 3 התגוררו במשק ללא תשלום דמי שכירות</w:t>
      </w:r>
      <w:r w:rsidR="008C60C9">
        <w:rPr>
          <w:rFonts w:ascii="Arial" w:hAnsi="Arial" w:hint="cs"/>
          <w:noProof w:val="0"/>
          <w:rtl/>
        </w:rPr>
        <w:t>,</w:t>
      </w:r>
      <w:r>
        <w:rPr>
          <w:rFonts w:ascii="Arial" w:hAnsi="Arial"/>
          <w:noProof w:val="0"/>
          <w:rtl/>
        </w:rPr>
        <w:t xml:space="preserve"> לא יוחזרו להם תשלומים ששילמו בעבר לצורך הסדרת הזכויות, וכן אגרות והיטלים לטובת המשק. </w:t>
      </w:r>
    </w:p>
    <w:p w:rsidR="00511F4D" w:rsidRDefault="00511F4D" w:rsidP="00511F4D">
      <w:pPr>
        <w:pStyle w:val="ad"/>
        <w:spacing w:line="360" w:lineRule="auto"/>
        <w:jc w:val="both"/>
        <w:rPr>
          <w:rFonts w:ascii="Arial" w:hAnsi="Arial"/>
          <w:noProof w:val="0"/>
          <w:rtl/>
        </w:rPr>
      </w:pPr>
    </w:p>
    <w:p w:rsidR="00511F4D" w:rsidRDefault="00511F4D" w:rsidP="00511F4D">
      <w:pPr>
        <w:pStyle w:val="ad"/>
        <w:spacing w:line="360" w:lineRule="auto"/>
        <w:jc w:val="both"/>
        <w:rPr>
          <w:rFonts w:ascii="Arial" w:hAnsi="Arial"/>
          <w:noProof w:val="0"/>
          <w:rtl/>
        </w:rPr>
      </w:pPr>
      <w:r>
        <w:rPr>
          <w:rFonts w:ascii="Arial" w:hAnsi="Arial"/>
          <w:noProof w:val="0"/>
          <w:rtl/>
        </w:rPr>
        <w:t xml:space="preserve">המנוח הוסיף לצוות, כי התובע והנתבע 3 יוכלו להמשיך להתגורר ביחידות המגורים בהן הם מתגוררים במשך כל ימי חייהם, ובמקרה כזה, לא יקבלו פיצוי בגין השקעתם בנכסים אלה וזאת בתנאי שישלמו דמי שכ"ד חודשיים בשווי 50% מדמי השכירות המשולמים במשק על יחידת מגורים דומה. </w:t>
      </w:r>
    </w:p>
    <w:p w:rsidR="00511F4D" w:rsidRDefault="00511F4D" w:rsidP="00511F4D">
      <w:pPr>
        <w:pStyle w:val="ad"/>
        <w:spacing w:line="360" w:lineRule="auto"/>
        <w:jc w:val="both"/>
        <w:rPr>
          <w:rFonts w:ascii="Arial" w:hAnsi="Arial"/>
          <w:noProof w:val="0"/>
          <w:rtl/>
        </w:rPr>
      </w:pPr>
    </w:p>
    <w:p w:rsidR="00511F4D" w:rsidRDefault="00511F4D" w:rsidP="00511F4D">
      <w:pPr>
        <w:pStyle w:val="ad"/>
        <w:spacing w:line="360" w:lineRule="auto"/>
        <w:jc w:val="both"/>
        <w:rPr>
          <w:rFonts w:ascii="Arial" w:hAnsi="Arial"/>
          <w:noProof w:val="0"/>
          <w:rtl/>
        </w:rPr>
      </w:pPr>
      <w:r>
        <w:rPr>
          <w:rFonts w:ascii="Arial" w:hAnsi="Arial"/>
          <w:noProof w:val="0"/>
          <w:rtl/>
        </w:rPr>
        <w:t xml:space="preserve">המנוח אף הורה כי הנתבע 9 יוכל להמשיך להתגורר במשק כל ימי חייו בכפוף לתשלום שכ"ד בשווי 50% מדמי השכירות המשולמים במשק על יחידה דומה. </w:t>
      </w:r>
    </w:p>
    <w:p w:rsidR="00511F4D" w:rsidRDefault="00511F4D" w:rsidP="00511F4D">
      <w:pPr>
        <w:pStyle w:val="ad"/>
        <w:tabs>
          <w:tab w:val="left" w:pos="2565"/>
        </w:tabs>
        <w:spacing w:line="360" w:lineRule="auto"/>
        <w:jc w:val="both"/>
        <w:rPr>
          <w:rFonts w:ascii="Arial" w:hAnsi="Arial"/>
          <w:noProof w:val="0"/>
          <w:rtl/>
        </w:rPr>
      </w:pPr>
      <w:r>
        <w:rPr>
          <w:rFonts w:ascii="Arial" w:hAnsi="Arial"/>
          <w:noProof w:val="0"/>
          <w:rtl/>
        </w:rPr>
        <w:tab/>
      </w:r>
    </w:p>
    <w:p w:rsidR="00511F4D" w:rsidRDefault="00511F4D" w:rsidP="00511F4D">
      <w:pPr>
        <w:pStyle w:val="ad"/>
        <w:spacing w:line="360" w:lineRule="auto"/>
        <w:jc w:val="both"/>
        <w:rPr>
          <w:rFonts w:ascii="Arial" w:hAnsi="Arial"/>
          <w:noProof w:val="0"/>
          <w:rtl/>
        </w:rPr>
      </w:pPr>
      <w:r>
        <w:rPr>
          <w:rFonts w:ascii="Arial" w:hAnsi="Arial"/>
          <w:noProof w:val="0"/>
          <w:rtl/>
        </w:rPr>
        <w:t>לבסוף, ציווה המנוח כי באם יחפוץ מי מילדיו הנוספים (הנתבעים 2 ו 4-8 וכן הנתבעת 10) לגור במשק, הוא יוכל לעשות כן ובלבד שישלם שכ"ד בשווי 50% מדמי השכירות המשולמים במשק על היחידה שבה יגור</w:t>
      </w:r>
      <w:r w:rsidR="005B5C83">
        <w:rPr>
          <w:rFonts w:ascii="Arial" w:hAnsi="Arial" w:hint="cs"/>
          <w:noProof w:val="0"/>
          <w:rtl/>
        </w:rPr>
        <w:t>,</w:t>
      </w:r>
      <w:r>
        <w:rPr>
          <w:rFonts w:ascii="Arial" w:hAnsi="Arial"/>
          <w:noProof w:val="0"/>
          <w:rtl/>
        </w:rPr>
        <w:t xml:space="preserve"> ויישא בכל ההוצאות הנדרשות עבור אותה יחידת מגורים. </w:t>
      </w:r>
    </w:p>
    <w:p w:rsidR="00511F4D" w:rsidRDefault="00511F4D" w:rsidP="00511F4D">
      <w:pPr>
        <w:pStyle w:val="ad"/>
        <w:spacing w:line="360" w:lineRule="auto"/>
        <w:jc w:val="both"/>
        <w:rPr>
          <w:rFonts w:ascii="Arial" w:hAnsi="Arial"/>
          <w:noProof w:val="0"/>
          <w:rtl/>
        </w:rPr>
      </w:pPr>
      <w:r>
        <w:rPr>
          <w:rFonts w:ascii="Arial" w:hAnsi="Arial"/>
          <w:noProof w:val="0"/>
          <w:rtl/>
        </w:rPr>
        <w:t>לצורך ביצוע הוראות הצוואה מינה המנוח את בנו הבכור עזרא (הנתבע 2) למנהל עיזבון ולמוציא לפועל של הוראות הצוואה.</w:t>
      </w:r>
    </w:p>
    <w:p w:rsidR="00511F4D" w:rsidRDefault="00511F4D" w:rsidP="00511F4D">
      <w:pPr>
        <w:pStyle w:val="ad"/>
        <w:spacing w:line="360" w:lineRule="auto"/>
        <w:jc w:val="both"/>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ביום 13.09.2020 ניתן תוקף של פס"ד להסכמות הצדדים כדלהלן:</w:t>
      </w:r>
    </w:p>
    <w:p w:rsidR="00511F4D" w:rsidRDefault="00511F4D" w:rsidP="00511F4D">
      <w:pPr>
        <w:pStyle w:val="ad"/>
        <w:spacing w:line="360" w:lineRule="auto"/>
        <w:rPr>
          <w:rFonts w:ascii="Arial" w:hAnsi="Arial"/>
          <w:noProof w:val="0"/>
          <w:rtl/>
        </w:rPr>
      </w:pPr>
    </w:p>
    <w:p w:rsidR="00511F4D" w:rsidRDefault="00511F4D" w:rsidP="00511F4D">
      <w:pPr>
        <w:pStyle w:val="ad"/>
        <w:spacing w:line="360" w:lineRule="auto"/>
        <w:ind w:left="1440" w:hanging="720"/>
        <w:jc w:val="both"/>
        <w:rPr>
          <w:rFonts w:ascii="Arial" w:hAnsi="Arial"/>
          <w:b/>
          <w:bCs/>
          <w:noProof w:val="0"/>
        </w:rPr>
      </w:pPr>
      <w:r>
        <w:rPr>
          <w:rFonts w:ascii="Arial" w:hAnsi="Arial"/>
          <w:b/>
          <w:bCs/>
          <w:noProof w:val="0"/>
          <w:rtl/>
        </w:rPr>
        <w:t>א.</w:t>
      </w:r>
      <w:r>
        <w:rPr>
          <w:rFonts w:ascii="Arial" w:hAnsi="Arial"/>
          <w:b/>
          <w:bCs/>
          <w:noProof w:val="0"/>
          <w:rtl/>
        </w:rPr>
        <w:tab/>
        <w:t>יינתן תוקף שיפוטי לצוואת המנוח מיום 14.1.19.</w:t>
      </w:r>
    </w:p>
    <w:p w:rsidR="00511F4D" w:rsidRDefault="00511F4D" w:rsidP="00511F4D">
      <w:pPr>
        <w:pStyle w:val="ad"/>
        <w:spacing w:line="360" w:lineRule="auto"/>
        <w:jc w:val="both"/>
        <w:rPr>
          <w:rFonts w:ascii="Arial" w:hAnsi="Arial"/>
          <w:b/>
          <w:bCs/>
          <w:noProof w:val="0"/>
          <w:rtl/>
        </w:rPr>
      </w:pPr>
      <w:r>
        <w:rPr>
          <w:rFonts w:ascii="Arial" w:hAnsi="Arial"/>
          <w:b/>
          <w:bCs/>
          <w:noProof w:val="0"/>
          <w:rtl/>
        </w:rPr>
        <w:tab/>
      </w:r>
    </w:p>
    <w:p w:rsidR="00511F4D" w:rsidRDefault="00511F4D" w:rsidP="00511F4D">
      <w:pPr>
        <w:pStyle w:val="ad"/>
        <w:spacing w:line="360" w:lineRule="auto"/>
        <w:ind w:left="1440" w:hanging="720"/>
        <w:jc w:val="both"/>
        <w:rPr>
          <w:rFonts w:ascii="Arial" w:hAnsi="Arial"/>
          <w:b/>
          <w:bCs/>
          <w:noProof w:val="0"/>
          <w:rtl/>
        </w:rPr>
      </w:pPr>
      <w:r>
        <w:rPr>
          <w:rFonts w:ascii="Arial" w:hAnsi="Arial"/>
          <w:b/>
          <w:bCs/>
          <w:noProof w:val="0"/>
          <w:rtl/>
        </w:rPr>
        <w:t>ב.</w:t>
      </w:r>
      <w:r>
        <w:rPr>
          <w:rFonts w:ascii="Arial" w:hAnsi="Arial"/>
          <w:b/>
          <w:bCs/>
          <w:noProof w:val="0"/>
          <w:rtl/>
        </w:rPr>
        <w:tab/>
        <w:t xml:space="preserve">הצדדים מודעים לכך כי למתנגד ישנן טענות שאינן נובעות מטענותיו כיורש כי אם מטענותיו בקשר עם מערכת היחסים הכלכלית והמשפחתית בינו ובין המנוח, בחייו. ביחס לטענות אלה הוגשה תביעה נוספת, ת"ע 7772-12-19. </w:t>
      </w:r>
    </w:p>
    <w:p w:rsidR="00511F4D" w:rsidRDefault="00511F4D" w:rsidP="00511F4D">
      <w:pPr>
        <w:pStyle w:val="ad"/>
        <w:spacing w:line="360" w:lineRule="auto"/>
        <w:jc w:val="both"/>
        <w:rPr>
          <w:rFonts w:ascii="Arial" w:hAnsi="Arial"/>
          <w:b/>
          <w:bCs/>
          <w:noProof w:val="0"/>
          <w:rtl/>
        </w:rPr>
      </w:pPr>
    </w:p>
    <w:p w:rsidR="00511F4D" w:rsidRDefault="00511F4D" w:rsidP="00511F4D">
      <w:pPr>
        <w:pStyle w:val="ad"/>
        <w:spacing w:line="360" w:lineRule="auto"/>
        <w:ind w:left="1440" w:hanging="720"/>
        <w:jc w:val="both"/>
        <w:rPr>
          <w:rFonts w:ascii="Arial" w:hAnsi="Arial"/>
          <w:b/>
          <w:bCs/>
          <w:noProof w:val="0"/>
          <w:rtl/>
        </w:rPr>
      </w:pPr>
      <w:r>
        <w:rPr>
          <w:rFonts w:ascii="Arial" w:hAnsi="Arial"/>
          <w:b/>
          <w:bCs/>
          <w:noProof w:val="0"/>
          <w:rtl/>
        </w:rPr>
        <w:t>ג.</w:t>
      </w:r>
      <w:r>
        <w:rPr>
          <w:rFonts w:ascii="Arial" w:hAnsi="Arial"/>
          <w:b/>
          <w:bCs/>
          <w:noProof w:val="0"/>
          <w:rtl/>
        </w:rPr>
        <w:tab/>
        <w:t>ביחס לתביעה הנוספת, 7772-12-19, תינתן לצדדים שהות להידבר על מנת ולהגיע לפתרון כלכלי שיישא את האינטרסים של הצדדים כולם.</w:t>
      </w:r>
    </w:p>
    <w:p w:rsidR="00511F4D" w:rsidRDefault="00511F4D" w:rsidP="00511F4D">
      <w:pPr>
        <w:spacing w:line="360" w:lineRule="auto"/>
        <w:jc w:val="both"/>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לטענת התובע, כחלק ממערכת היחסים המיוחדת ששררה בינו לבין המנוח, הציע המנוח לתובע כי יבנה את בית מגוריו במשק ויתגורר בו כאוות נפשו ביחד עם גרושתו וילדיו וזאת ללא תנאי או מגבלת זמן ומבלי שדרש ממנו לשלם כל תשלום בגין מגוריו במשק</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התובע הוסיף כי הצעתו של המנוח המפורטת לעיל, הוצעה לו לאחר שהנתבעות 4, 7 ו-10 הודיעו כי אין באפשרותן לבנות במשק, זאת לאור העלויות הגבוהות והבירוקרטיה הכרוכה בכך, וכן טען כי הצעת המנוח לוותה בהצהרה מפורשת שניתנה בנוכחות הנתבעת 1 כי בתמורה להשקעה הכספית הרבה והטיפול המורכב הכרוך בהסדרת הזכויות במשק, התובע יקבל 20% מהזכויות במשק כולו (ולא רק 10% כפי שנרשם בסופו של יום בצוואה האחרונה שקוימה ואשר נערכה בסמוך לפטירת המנוח).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עוד טען התובע כי בהסתמך על הצעתו של המנוח ולנוכח יחסי האמון המיוחדים ששררו בניהם, בנה התובע את ביתו במשק, אותו הגדיר כבית מגורים רחב ידיים וחדש, השקיע כספים ומשאבים אישיים רבים וכן נשא לבדו בתשלומים לרשויות המסתכמים לטענתו במאות אלפי שקלים, וזאת בנוסף לסכומים שהיה עליו לשלם לצורך הסדרת רישום הזכויות במשק ע"ש המנוח שגם שולמו, על ידו.</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לטענת התובע, הוא לא נדרש לשלם מאומה עבור המגורים שלו או של גרושתו וילדיו, ולנוכח יחסי האמון והקרבה בינו לבין המנוח, הם עשו כן אף ללא עיגון ההסכמות במסמך בכתב.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לדברי התובע, סך כל ההשקעות שהשקיע במשק מסתכם בסכום של מעל 1,750,000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בנסיבות אלה, התנגד התובע תחילה לקיום צוואתו של המנוח וטען כי אינה משקפת את רצונו של המנוח וכן הגיש את התובענה דנן לפס"ד הצהרתי, בה ביקש לקבוע כי למנוח לא עמדה הזכות לקבלת שכ"ד ממנו ומשכך לא יכול היה להורישה בצוואתו למי מיורשיו; ביקש לקבוע כי לו ולמשפחתו (גרושתו וילדיו) זכות מגורים בלתי הדירה במשק עד למועד מכירת הזכויות במשק או עד לפירוק השיתוף בו; ביקש ליתן לו זכות סירוב ראשונה לרכוש את זכויות יתר היורשים במשק; או לחילופין להורות כי במקרה של פירוק שיתוף או במקרה בו תישלל זכותו שלו או של מי מבני משפחתו להמשיך ולהתגורר במשק, הוא יהיה זכאי להשבה של כל התשלומים ששילם והוציא עבור המשק, כמפורט בתביעתו, וכן עתר ליתן פס"ד לפיו הקרוואן </w:t>
      </w:r>
      <w:r>
        <w:rPr>
          <w:rFonts w:ascii="Arial" w:hAnsi="Arial"/>
          <w:noProof w:val="0"/>
          <w:rtl/>
        </w:rPr>
        <w:lastRenderedPageBreak/>
        <w:t xml:space="preserve">הקיים במשק (בו מתגורר, כאמור, הנתבע 9) שייך לתובע ואינו מהווה חלק מעיזבונו של המנוח.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בכתב הגנתם, הכחישו הנתבעים טענות התובע ביחס להסכמות בינו לבין המנוח. לדבריהם, תביעת התובע מנוגדת להוראות הצוואה, הוגשה בחוסר תום לב ואינה נסמכת על ראיות, לא  ביחס להתחייבותו הנטענת של המנוח כלפי התובע, ולא ביחס לסכומים שלטענת התובע הושקעו על ידו במשק.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לדבריהם אף עומדת להם טענת קיזוז בגין נזקים שנגרמו מהגשת התביעה וכתוצאה מעבודות שעשה התובע בבניית דירתו ללא תמורה.</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הנתבעים הכחישו טענת התובע כי למנוח לא הייתה הזכות לצוות שישולמו לעיזבון דמי שכירות, וביקשו לקיים את הוראות הצוואה כלשונה, ועתרו לקבוע כי בהיעדר תשלום שכ"ד, יש לפנות את התובע וגרושתו מהמשק.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בכתב הגנתם הסכימו הנתבעים לפסוק לתובע 20% משווי העיזבון וזאת לצורכי פשרה וזאת על אף שהכחישו טענה זו וזאת על מנת לייתר את ההליך.</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לדברי הנתבעים, הסיבה שהתובע לא שילם מאומה עבור מגוריו במשק, היא שכל הוצאות המשק החודשיות, לדוגמה ארנונה, חשמל ומים שולמו ע"י התובע, עוד במהלך חייו של המנוח, אך תשלומים אלה הופסקו לאחר פטירת המנוח, תוך פגיעה באם התובע (הנתבעת 1).</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לנוכח האמור עתרו הנתבעים לדחות את התביעה לסעד הצהרתי וכל סעד הנוגד את הוראות הצוואה.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כך הכחישו הנתבעים טענת התובע בעניין הזכויות בקרוואן, אשר ניתן לנתבע 9.</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לבסוף, ביקשו הנתבעים, כי באם ייעתר ביהמ"ש לעתירת התובע לקזז משווי העיזבון סכומים ששילם התובע לכאורה, הרי שיש לעשות כן רק עם עזיבתו של התובע את המשק.</w:t>
      </w:r>
    </w:p>
    <w:p w:rsidR="00511F4D" w:rsidRDefault="00511F4D" w:rsidP="00511F4D">
      <w:pPr>
        <w:pStyle w:val="ad"/>
        <w:spacing w:line="360" w:lineRule="auto"/>
        <w:jc w:val="both"/>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כאמור, ביום 13.12.2020 הגישו הנתבעים תביעה לתשלום שכ"ד, או לפינוי התובע וגרושתו (הגב' </w:t>
      </w:r>
      <w:r w:rsidR="005B7B29">
        <w:rPr>
          <w:rFonts w:ascii="Arial" w:hAnsi="Arial"/>
          <w:noProof w:val="0"/>
          <w:rtl/>
        </w:rPr>
        <w:t>א. נ.</w:t>
      </w:r>
      <w:r>
        <w:rPr>
          <w:rFonts w:ascii="Arial" w:hAnsi="Arial"/>
          <w:noProof w:val="0"/>
          <w:rtl/>
        </w:rPr>
        <w:t>) מהמשק (</w:t>
      </w:r>
      <w:r w:rsidR="006B5CBE">
        <w:rPr>
          <w:rFonts w:ascii="Arial" w:hAnsi="Arial" w:hint="cs"/>
          <w:noProof w:val="0"/>
          <w:rtl/>
        </w:rPr>
        <w:t xml:space="preserve">זאת </w:t>
      </w:r>
      <w:r>
        <w:rPr>
          <w:rFonts w:ascii="Arial" w:hAnsi="Arial"/>
          <w:noProof w:val="0"/>
          <w:rtl/>
        </w:rPr>
        <w:t>ע"פ נוסח כתב התביעה המתוקן מיום 07.02.2021).</w:t>
      </w:r>
    </w:p>
    <w:p w:rsidR="00861412" w:rsidRPr="00861412" w:rsidRDefault="00861412" w:rsidP="00861412">
      <w:pPr>
        <w:pStyle w:val="ad"/>
        <w:rPr>
          <w:rFonts w:ascii="Arial" w:hAnsi="Arial"/>
          <w:noProof w:val="0"/>
          <w:rtl/>
        </w:rPr>
      </w:pPr>
    </w:p>
    <w:p w:rsidR="00511F4D" w:rsidRPr="006B5CBE" w:rsidRDefault="00511F4D" w:rsidP="00511F4D">
      <w:pPr>
        <w:pStyle w:val="ad"/>
        <w:rPr>
          <w:rFonts w:ascii="Arial" w:hAnsi="Arial"/>
          <w:noProof w:val="0"/>
        </w:rPr>
      </w:pPr>
    </w:p>
    <w:p w:rsidR="00511F4D" w:rsidRDefault="006B5CBE" w:rsidP="00511F4D">
      <w:pPr>
        <w:pStyle w:val="ad"/>
        <w:numPr>
          <w:ilvl w:val="0"/>
          <w:numId w:val="1"/>
        </w:numPr>
        <w:spacing w:line="360" w:lineRule="auto"/>
        <w:jc w:val="both"/>
        <w:rPr>
          <w:rFonts w:ascii="Arial" w:hAnsi="Arial"/>
          <w:noProof w:val="0"/>
          <w:rtl/>
        </w:rPr>
      </w:pPr>
      <w:r>
        <w:rPr>
          <w:rFonts w:ascii="Arial" w:hAnsi="Arial"/>
          <w:noProof w:val="0"/>
          <w:rtl/>
        </w:rPr>
        <w:lastRenderedPageBreak/>
        <w:t>לטענת הנתבעים, התובע וגרושתו</w:t>
      </w:r>
      <w:r>
        <w:rPr>
          <w:rFonts w:ascii="Arial" w:hAnsi="Arial" w:hint="cs"/>
          <w:noProof w:val="0"/>
          <w:rtl/>
        </w:rPr>
        <w:t>,</w:t>
      </w:r>
      <w:r w:rsidR="00511F4D">
        <w:rPr>
          <w:rFonts w:ascii="Arial" w:hAnsi="Arial"/>
          <w:noProof w:val="0"/>
          <w:rtl/>
        </w:rPr>
        <w:t xml:space="preserve"> המתגוררת בקומה נפרדת ביחידת המגורים שנבנתה על ידי התובע במשק [(יחידה מס' 4) להלן: "</w:t>
      </w:r>
      <w:r w:rsidR="00511F4D">
        <w:rPr>
          <w:rFonts w:ascii="Arial" w:hAnsi="Arial"/>
          <w:b/>
          <w:bCs/>
          <w:noProof w:val="0"/>
          <w:rtl/>
        </w:rPr>
        <w:t>הנכס</w:t>
      </w:r>
      <w:r w:rsidR="00511F4D">
        <w:rPr>
          <w:rFonts w:ascii="Arial" w:hAnsi="Arial"/>
          <w:noProof w:val="0"/>
          <w:rtl/>
        </w:rPr>
        <w:t xml:space="preserve">"], לא שילמו שכ"ד ומשכך ולאחר שפנו אליהם ולא קיבלו מענה, הגישו את התובענה לתשלום שכ"ד, תוך דרישה כי התובע ישלם שכ"ד בסך 1,650 ₪ לחודש וגרושתו תשלם שכ"ד בסך 5,500 ₪ לחודש, לחילופין ובמידה והתובע וגרושתו לא ישלמו דמי שכירות, עתרו הנתבעים לפנותם מיחידות המגורים בהן הם מתגוררים. </w:t>
      </w:r>
    </w:p>
    <w:p w:rsidR="00511F4D" w:rsidRDefault="00511F4D" w:rsidP="00511F4D">
      <w:pPr>
        <w:pStyle w:val="ad"/>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התובע וגרושתו טענו בכתב הגנתם כי הינם בני זוג לכל דבר ועניין</w:t>
      </w:r>
      <w:r w:rsidR="006B5CBE">
        <w:rPr>
          <w:rFonts w:ascii="Arial" w:hAnsi="Arial" w:hint="cs"/>
          <w:noProof w:val="0"/>
          <w:rtl/>
        </w:rPr>
        <w:t>,</w:t>
      </w:r>
      <w:r>
        <w:rPr>
          <w:rFonts w:ascii="Arial" w:hAnsi="Arial"/>
          <w:noProof w:val="0"/>
          <w:rtl/>
        </w:rPr>
        <w:t xml:space="preserve"> ו</w:t>
      </w:r>
      <w:r w:rsidR="006B5CBE">
        <w:rPr>
          <w:rFonts w:ascii="Arial" w:hAnsi="Arial" w:hint="cs"/>
          <w:noProof w:val="0"/>
          <w:rtl/>
        </w:rPr>
        <w:t xml:space="preserve">כי הם </w:t>
      </w:r>
      <w:r w:rsidR="006B5CBE">
        <w:rPr>
          <w:rFonts w:ascii="Arial" w:hAnsi="Arial"/>
          <w:noProof w:val="0"/>
          <w:rtl/>
        </w:rPr>
        <w:t xml:space="preserve">מתגוררים בנכס </w:t>
      </w:r>
      <w:r w:rsidR="006B5CBE">
        <w:rPr>
          <w:rFonts w:ascii="Arial" w:hAnsi="Arial" w:hint="cs"/>
          <w:noProof w:val="0"/>
          <w:rtl/>
        </w:rPr>
        <w:t>ש</w:t>
      </w:r>
      <w:r>
        <w:rPr>
          <w:rFonts w:ascii="Arial" w:hAnsi="Arial"/>
          <w:noProof w:val="0"/>
          <w:rtl/>
        </w:rPr>
        <w:t>בנה התובע בשטח המשק, תוך השקעה כספית גבוהה, כאשר סכום ההשקעה הכספית והתשלומים ששילם התובע אוזכרו בסעיף 9 לצוואת המנוח.</w:t>
      </w:r>
    </w:p>
    <w:p w:rsidR="00511F4D" w:rsidRDefault="00511F4D" w:rsidP="00511F4D">
      <w:pPr>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התובע וגרושתו הכחישו את הטענה לפיה מדובר בשתי יחידות מגורים נפרדות, תוך ניסיון לחייב כל אחד מהם בסכום שונה ומשכך, לטענתם, לשניהם קיימת זכות להתגורר ולהשתמש בבית שבנה התובע ואף לקבל פיצוי בגין כך. </w:t>
      </w:r>
    </w:p>
    <w:p w:rsidR="00511F4D" w:rsidRDefault="00511F4D" w:rsidP="00511F4D">
      <w:pPr>
        <w:pStyle w:val="ad"/>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התובע וגרושתו הכחישו את גובה דמי השכירות הנטען, והוסיפו כי אין יריבות בין גרושתו של התובע (הנתבעת 1 בתמ"ש 27575-12-20) לבין הנתבעים וזאת בשעה שהיא עושה שימוש ביחידת המגורים שהוקצתה מלכתחילה לתובע ומתגוררת בה בהסכמתו המלאה. </w:t>
      </w:r>
    </w:p>
    <w:p w:rsidR="00511F4D" w:rsidRDefault="00511F4D" w:rsidP="00511F4D">
      <w:pPr>
        <w:pStyle w:val="ad"/>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לנוכח האמור עתרו התובע וגרושתו לדחות את התובענה נגד הגרושה מהטעם של היעדר יריבות וביקשו לעכב ההכרעה בתובענה לפינוי עד להכרעה בתובענה לסעד הצהרתי שהגיש התובע דכאן.</w:t>
      </w:r>
    </w:p>
    <w:p w:rsidR="00511F4D" w:rsidRDefault="00511F4D" w:rsidP="00511F4D">
      <w:pPr>
        <w:pStyle w:val="ad"/>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התובענות עברו להתברר בפני ביום 2.2.2021.</w:t>
      </w:r>
    </w:p>
    <w:p w:rsidR="00511F4D" w:rsidRDefault="00511F4D" w:rsidP="00511F4D">
      <w:pPr>
        <w:pStyle w:val="ad"/>
        <w:rPr>
          <w:rFonts w:ascii="Arial" w:hAnsi="Arial"/>
          <w:noProof w:val="0"/>
        </w:rPr>
      </w:pPr>
    </w:p>
    <w:p w:rsidR="00511F4D" w:rsidRDefault="006B5CBE" w:rsidP="00511F4D">
      <w:pPr>
        <w:pStyle w:val="ad"/>
        <w:numPr>
          <w:ilvl w:val="0"/>
          <w:numId w:val="1"/>
        </w:numPr>
        <w:spacing w:line="360" w:lineRule="auto"/>
        <w:jc w:val="both"/>
        <w:rPr>
          <w:rFonts w:ascii="Arial" w:hAnsi="Arial"/>
          <w:noProof w:val="0"/>
          <w:rtl/>
        </w:rPr>
      </w:pPr>
      <w:r>
        <w:rPr>
          <w:rFonts w:ascii="Arial" w:hAnsi="Arial"/>
          <w:noProof w:val="0"/>
          <w:rtl/>
        </w:rPr>
        <w:t>ב</w:t>
      </w:r>
      <w:r>
        <w:rPr>
          <w:rFonts w:ascii="Arial" w:hAnsi="Arial" w:hint="cs"/>
          <w:noProof w:val="0"/>
          <w:rtl/>
        </w:rPr>
        <w:t>קדם המשפט</w:t>
      </w:r>
      <w:r w:rsidR="00511F4D">
        <w:rPr>
          <w:rFonts w:ascii="Arial" w:hAnsi="Arial"/>
          <w:noProof w:val="0"/>
          <w:rtl/>
        </w:rPr>
        <w:t xml:space="preserve"> ש</w:t>
      </w:r>
      <w:r>
        <w:rPr>
          <w:rFonts w:ascii="Arial" w:hAnsi="Arial"/>
          <w:noProof w:val="0"/>
          <w:rtl/>
        </w:rPr>
        <w:t xml:space="preserve">התקיים בפני ביום 20.6.2021, </w:t>
      </w:r>
      <w:r w:rsidR="00722F18">
        <w:rPr>
          <w:rFonts w:ascii="Arial" w:hAnsi="Arial" w:hint="cs"/>
          <w:noProof w:val="0"/>
          <w:rtl/>
        </w:rPr>
        <w:t>נעשה ע"י</w:t>
      </w:r>
      <w:r w:rsidR="00511F4D">
        <w:rPr>
          <w:rFonts w:ascii="Arial" w:hAnsi="Arial"/>
          <w:noProof w:val="0"/>
          <w:rtl/>
        </w:rPr>
        <w:t xml:space="preserve"> ביהמ"ש </w:t>
      </w:r>
      <w:r w:rsidR="00722F18">
        <w:rPr>
          <w:rFonts w:ascii="Arial" w:hAnsi="Arial" w:hint="cs"/>
          <w:noProof w:val="0"/>
          <w:rtl/>
        </w:rPr>
        <w:t xml:space="preserve">ניסיון ארוך </w:t>
      </w:r>
      <w:r w:rsidR="00511F4D">
        <w:rPr>
          <w:rFonts w:ascii="Arial" w:hAnsi="Arial"/>
          <w:noProof w:val="0"/>
          <w:rtl/>
        </w:rPr>
        <w:t>להביא הצדדים להסכמות, אולם בהיעדר הצלחה, ניתנו לאחריו הוראות להמשך קידום בירור ההליכים.</w:t>
      </w:r>
    </w:p>
    <w:p w:rsidR="00511F4D" w:rsidRDefault="00511F4D" w:rsidP="00511F4D">
      <w:pPr>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הגם שבפני בית המשפט לא מונחת תביעה כספית, על יסוד הסכמת הצדדים (לרבות זו מיום 13.9.2020) וכן על מנת לדון בתובענה לתשלום דמי שכירות שהגישו הנתבעים, מינה ביהמ"ש שמאי להעריך את שווי המשק ודמי השכירות הראויים בגין המגורים ביחידות השונות.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ביום 02.01.2022 הוגשה חוות דעת השמאי, מר יומיק שמר.</w:t>
      </w:r>
    </w:p>
    <w:p w:rsidR="00511F4D" w:rsidRDefault="00511F4D" w:rsidP="00722F18">
      <w:pPr>
        <w:pStyle w:val="ad"/>
        <w:numPr>
          <w:ilvl w:val="0"/>
          <w:numId w:val="1"/>
        </w:numPr>
        <w:spacing w:line="360" w:lineRule="auto"/>
        <w:jc w:val="both"/>
        <w:rPr>
          <w:rFonts w:ascii="Arial" w:hAnsi="Arial"/>
          <w:noProof w:val="0"/>
        </w:rPr>
      </w:pPr>
      <w:r>
        <w:rPr>
          <w:rFonts w:ascii="Arial" w:hAnsi="Arial"/>
          <w:noProof w:val="0"/>
          <w:rtl/>
        </w:rPr>
        <w:lastRenderedPageBreak/>
        <w:t xml:space="preserve">ביום 09.03.2022 הגיש השמאי </w:t>
      </w:r>
      <w:r w:rsidR="00722F18">
        <w:rPr>
          <w:rFonts w:ascii="Arial" w:hAnsi="Arial" w:hint="cs"/>
          <w:noProof w:val="0"/>
          <w:rtl/>
        </w:rPr>
        <w:t>תשובה</w:t>
      </w:r>
      <w:r>
        <w:rPr>
          <w:rFonts w:ascii="Arial" w:hAnsi="Arial"/>
          <w:noProof w:val="0"/>
          <w:rtl/>
        </w:rPr>
        <w:t xml:space="preserve"> לשאלות ההבהרה שנשלחו לו ע"י ב"כ הצדדים. </w:t>
      </w:r>
    </w:p>
    <w:p w:rsidR="00511F4D" w:rsidRDefault="00511F4D" w:rsidP="00511F4D">
      <w:pPr>
        <w:pStyle w:val="ad"/>
        <w:spacing w:line="360" w:lineRule="auto"/>
        <w:rPr>
          <w:rFonts w:ascii="Arial" w:hAnsi="Arial"/>
          <w:noProof w:val="0"/>
          <w:rtl/>
        </w:rPr>
      </w:pPr>
    </w:p>
    <w:p w:rsidR="00511F4D" w:rsidRDefault="00511F4D" w:rsidP="00722F18">
      <w:pPr>
        <w:pStyle w:val="ad"/>
        <w:numPr>
          <w:ilvl w:val="0"/>
          <w:numId w:val="1"/>
        </w:numPr>
        <w:spacing w:line="360" w:lineRule="auto"/>
        <w:jc w:val="both"/>
        <w:rPr>
          <w:rFonts w:ascii="Arial" w:hAnsi="Arial"/>
          <w:noProof w:val="0"/>
        </w:rPr>
      </w:pPr>
      <w:r>
        <w:rPr>
          <w:rFonts w:ascii="Arial" w:hAnsi="Arial"/>
          <w:noProof w:val="0"/>
          <w:rtl/>
        </w:rPr>
        <w:t>ביום 10.07.2022 ובהסכמת הצדדים, נחקרו השמאי ועו"ד רוזנבלום שערך את צוואת המנוח ורעייתו בשנת 2017,</w:t>
      </w:r>
      <w:r w:rsidR="00722F18">
        <w:rPr>
          <w:rFonts w:ascii="Arial" w:hAnsi="Arial" w:hint="cs"/>
          <w:noProof w:val="0"/>
          <w:rtl/>
        </w:rPr>
        <w:t xml:space="preserve"> צוואה</w:t>
      </w:r>
      <w:r>
        <w:rPr>
          <w:rFonts w:ascii="Arial" w:hAnsi="Arial"/>
          <w:noProof w:val="0"/>
          <w:rtl/>
        </w:rPr>
        <w:t xml:space="preserve"> </w:t>
      </w:r>
      <w:r w:rsidR="00722F18">
        <w:rPr>
          <w:rFonts w:ascii="Arial" w:hAnsi="Arial" w:hint="cs"/>
          <w:noProof w:val="0"/>
          <w:rtl/>
        </w:rPr>
        <w:t>ש</w:t>
      </w:r>
      <w:r>
        <w:rPr>
          <w:rFonts w:ascii="Arial" w:hAnsi="Arial"/>
          <w:noProof w:val="0"/>
          <w:rtl/>
        </w:rPr>
        <w:t xml:space="preserve">לא נחתמה בסופו של דבר. </w:t>
      </w:r>
    </w:p>
    <w:p w:rsidR="00511F4D" w:rsidRDefault="00511F4D" w:rsidP="00511F4D">
      <w:pPr>
        <w:pStyle w:val="ad"/>
        <w:spacing w:line="360" w:lineRule="auto"/>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על מנת לאפשר המשך ניהול מו"מ בין הצדדים, נקבע דיון להמשך חקירות הצדדים ליום 17.01.2023 ובו נשמעו עדויות התובע, הנתבעים ועדיהם.</w:t>
      </w:r>
    </w:p>
    <w:p w:rsidR="00511F4D" w:rsidRDefault="00511F4D" w:rsidP="00511F4D">
      <w:pPr>
        <w:pStyle w:val="ad"/>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ביום 23.4.2023 הוגשו סיכומי התובע, ביום 21.6.2023 הוגשו סיכומי הנתבעים וביום 5.7.2023 הוגשו סיכומי תשובה</w:t>
      </w:r>
      <w:r w:rsidR="00722F18">
        <w:rPr>
          <w:rFonts w:ascii="Arial" w:hAnsi="Arial" w:hint="cs"/>
          <w:noProof w:val="0"/>
          <w:rtl/>
        </w:rPr>
        <w:t xml:space="preserve"> מטעם התובע</w:t>
      </w:r>
      <w:r>
        <w:rPr>
          <w:rFonts w:ascii="Arial" w:hAnsi="Arial"/>
          <w:noProof w:val="0"/>
          <w:rtl/>
        </w:rPr>
        <w:t>.</w:t>
      </w:r>
    </w:p>
    <w:p w:rsidR="00511F4D" w:rsidRPr="00722F18" w:rsidRDefault="00511F4D" w:rsidP="00511F4D">
      <w:pPr>
        <w:spacing w:line="360" w:lineRule="auto"/>
        <w:rPr>
          <w:rFonts w:ascii="Arial" w:hAnsi="Arial"/>
          <w:noProof w:val="0"/>
          <w:rtl/>
        </w:rPr>
      </w:pPr>
    </w:p>
    <w:p w:rsidR="00511F4D" w:rsidRDefault="00511F4D" w:rsidP="00511F4D">
      <w:pPr>
        <w:spacing w:line="360" w:lineRule="auto"/>
        <w:rPr>
          <w:rFonts w:ascii="Arial" w:hAnsi="Arial"/>
          <w:b/>
          <w:bCs/>
          <w:noProof w:val="0"/>
          <w:u w:val="single"/>
        </w:rPr>
      </w:pPr>
      <w:r>
        <w:rPr>
          <w:rFonts w:ascii="Arial" w:hAnsi="Arial"/>
          <w:b/>
          <w:bCs/>
          <w:noProof w:val="0"/>
          <w:u w:val="single"/>
          <w:rtl/>
        </w:rPr>
        <w:t>דיון והכרעה:</w:t>
      </w:r>
    </w:p>
    <w:p w:rsidR="00511F4D" w:rsidRDefault="00511F4D" w:rsidP="00511F4D">
      <w:pPr>
        <w:spacing w:line="360" w:lineRule="auto"/>
        <w:jc w:val="both"/>
        <w:rPr>
          <w:rFonts w:ascii="Arial" w:hAnsi="Arial"/>
          <w:noProof w:val="0"/>
          <w:rtl/>
        </w:rPr>
      </w:pPr>
    </w:p>
    <w:p w:rsidR="00511F4D" w:rsidRDefault="00511F4D" w:rsidP="00511F4D">
      <w:pPr>
        <w:spacing w:line="360" w:lineRule="auto"/>
        <w:jc w:val="both"/>
        <w:rPr>
          <w:rFonts w:ascii="Arial" w:hAnsi="Arial"/>
          <w:b/>
          <w:bCs/>
          <w:noProof w:val="0"/>
          <w:u w:val="single"/>
          <w:rtl/>
        </w:rPr>
      </w:pPr>
      <w:r>
        <w:rPr>
          <w:rFonts w:ascii="Arial" w:hAnsi="Arial"/>
          <w:b/>
          <w:bCs/>
          <w:noProof w:val="0"/>
          <w:u w:val="single"/>
          <w:rtl/>
        </w:rPr>
        <w:t>התובענה לפסק דין הצהרתי</w:t>
      </w:r>
    </w:p>
    <w:p w:rsidR="00511F4D" w:rsidRDefault="00511F4D" w:rsidP="00EC4312">
      <w:pPr>
        <w:pStyle w:val="ad"/>
        <w:numPr>
          <w:ilvl w:val="0"/>
          <w:numId w:val="1"/>
        </w:numPr>
        <w:spacing w:line="360" w:lineRule="auto"/>
        <w:jc w:val="both"/>
        <w:rPr>
          <w:rFonts w:ascii="Arial" w:hAnsi="Arial"/>
          <w:noProof w:val="0"/>
          <w:rtl/>
        </w:rPr>
      </w:pPr>
      <w:r>
        <w:rPr>
          <w:rFonts w:ascii="Arial" w:hAnsi="Arial"/>
          <w:noProof w:val="0"/>
          <w:rtl/>
        </w:rPr>
        <w:t>לאחר שבחנתי את טענות הצדדים ואת כל אשר לפניי לרבות כתבי הטענות, העדויות וסיכומי הצדדים הגעתי לכלל מ</w:t>
      </w:r>
      <w:r w:rsidR="00EC4312">
        <w:rPr>
          <w:rFonts w:ascii="Arial" w:hAnsi="Arial"/>
          <w:noProof w:val="0"/>
          <w:rtl/>
        </w:rPr>
        <w:t>סקנה כי דין מרבית רכיבי התביעה</w:t>
      </w:r>
      <w:r>
        <w:rPr>
          <w:rFonts w:ascii="Arial" w:hAnsi="Arial"/>
          <w:noProof w:val="0"/>
          <w:rtl/>
        </w:rPr>
        <w:t>, להידחות</w:t>
      </w:r>
      <w:r w:rsidR="00EC4312">
        <w:rPr>
          <w:rFonts w:ascii="Arial" w:hAnsi="Arial" w:hint="cs"/>
          <w:noProof w:val="0"/>
          <w:rtl/>
        </w:rPr>
        <w:t>, כמפורט להלן</w:t>
      </w:r>
      <w:r>
        <w:rPr>
          <w:rFonts w:ascii="Arial" w:hAnsi="Arial"/>
          <w:noProof w:val="0"/>
          <w:rtl/>
        </w:rPr>
        <w:t xml:space="preserve">. </w:t>
      </w:r>
    </w:p>
    <w:p w:rsidR="00511F4D" w:rsidRDefault="00511F4D" w:rsidP="00511F4D">
      <w:pPr>
        <w:spacing w:line="360" w:lineRule="auto"/>
        <w:ind w:left="360"/>
        <w:jc w:val="both"/>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כפי שיובהר להלן, בחינת העובדות שאינן במחלוקת, לצד הוראות הצוואה מלמדת כי לתובע ולחלק מהנתבעים ניתן ע"י המנוח רישיון מגורים במשק.</w:t>
      </w:r>
    </w:p>
    <w:p w:rsidR="00511F4D" w:rsidRDefault="00511F4D" w:rsidP="00511F4D">
      <w:pPr>
        <w:pStyle w:val="ad"/>
        <w:spacing w:line="360" w:lineRule="auto"/>
        <w:rPr>
          <w:rFonts w:ascii="Arial" w:hAnsi="Arial"/>
          <w:noProof w:val="0"/>
        </w:rPr>
      </w:pPr>
    </w:p>
    <w:p w:rsidR="00511F4D" w:rsidRDefault="00511F4D" w:rsidP="00511F4D">
      <w:pPr>
        <w:pStyle w:val="ad"/>
        <w:spacing w:line="360" w:lineRule="auto"/>
        <w:jc w:val="both"/>
        <w:rPr>
          <w:rFonts w:ascii="Arial" w:hAnsi="Arial"/>
          <w:noProof w:val="0"/>
        </w:rPr>
      </w:pPr>
      <w:r>
        <w:rPr>
          <w:rFonts w:ascii="Arial" w:hAnsi="Arial"/>
          <w:noProof w:val="0"/>
          <w:rtl/>
        </w:rPr>
        <w:t>מהותו והיקפו של רישיון זה מצויים במחלוקת, ואדרש לכך בהמשך, אולם בטרם אעשה כן ובטרם הכרעה בכל רכיבי התביעה ובשעה שמצאתי כי מדובר בעניין מהותי ובעל השפעה רוחבית על כלל העניינים הטעונים בירור, אפרט בקצרה את עיקרי הכללים בעניין זכות הרישיון במקרקעין.</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b/>
          <w:bCs/>
          <w:noProof w:val="0"/>
          <w:rtl/>
        </w:rPr>
        <w:t>חוק המקרקעין</w:t>
      </w:r>
      <w:r>
        <w:rPr>
          <w:rFonts w:ascii="Arial" w:hAnsi="Arial"/>
          <w:noProof w:val="0"/>
          <w:rtl/>
        </w:rPr>
        <w:t>, תשכ"ט – 1969 קובע ומגדיר את הזכויות הבאות בלבד: בעלות, שכירות, משכנתא, זיקת הנאה וזכות קדימה. משכך, בהתאם לחוק, לא קיימת זכות במקרקעין מכוח חזקה בלבד.</w:t>
      </w:r>
    </w:p>
    <w:p w:rsidR="00511F4D" w:rsidRDefault="00511F4D" w:rsidP="00511F4D">
      <w:pPr>
        <w:pStyle w:val="ad"/>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עם זאת, הפסיקה הכירה בזכות הרישיון במקרקעין- או בשמה הנוסף- זכות "בר רשות", מטעמים של צדק:</w:t>
      </w:r>
    </w:p>
    <w:p w:rsidR="00511F4D" w:rsidRDefault="00511F4D" w:rsidP="00511F4D">
      <w:pPr>
        <w:pStyle w:val="ad"/>
        <w:spacing w:line="360" w:lineRule="auto"/>
        <w:ind w:left="1440"/>
        <w:jc w:val="both"/>
        <w:rPr>
          <w:rFonts w:ascii="Arial" w:hAnsi="Arial"/>
          <w:noProof w:val="0"/>
        </w:rPr>
      </w:pPr>
      <w:r>
        <w:rPr>
          <w:rFonts w:ascii="Arial" w:hAnsi="Arial"/>
          <w:noProof w:val="0"/>
          <w:rtl/>
        </w:rPr>
        <w:t>"</w:t>
      </w:r>
      <w:r>
        <w:rPr>
          <w:rFonts w:ascii="Arial" w:hAnsi="Arial"/>
          <w:i/>
          <w:iCs/>
          <w:noProof w:val="0"/>
          <w:rtl/>
        </w:rPr>
        <w:t xml:space="preserve">רשיון במקרקעין משמעו היתר או רשות שנתן בעל המקרקעין לאחר, להחזיק או להשתמש בנכס ... (אשר) אפשר שהיא תהא מעוגנת בחוזה שנקשר בין הצדדים ... או </w:t>
      </w:r>
      <w:r>
        <w:rPr>
          <w:rFonts w:ascii="Arial" w:hAnsi="Arial"/>
          <w:i/>
          <w:iCs/>
          <w:noProof w:val="0"/>
          <w:rtl/>
        </w:rPr>
        <w:lastRenderedPageBreak/>
        <w:t>תלמד משתיקתו ואי-מחאתו להחזקה או לשימוש שעושה אחר בנכס...</w:t>
      </w:r>
      <w:r>
        <w:rPr>
          <w:rFonts w:ascii="Arial" w:hAnsi="Arial"/>
          <w:noProof w:val="0"/>
          <w:rtl/>
        </w:rPr>
        <w:t xml:space="preserve">" (נ. זלצמן, רשיון במקרקעין, הפרקליט, כרך מ"ב (תשנ"ה) עמ' 24). </w:t>
      </w:r>
    </w:p>
    <w:p w:rsidR="00511F4D" w:rsidRDefault="00511F4D" w:rsidP="00511F4D">
      <w:pPr>
        <w:pStyle w:val="ad"/>
        <w:spacing w:line="360" w:lineRule="auto"/>
        <w:jc w:val="both"/>
        <w:rPr>
          <w:rFonts w:ascii="Arial" w:hAnsi="Arial"/>
          <w:noProof w:val="0"/>
        </w:rPr>
      </w:pPr>
    </w:p>
    <w:p w:rsidR="00511F4D" w:rsidRDefault="00511F4D" w:rsidP="00511F4D">
      <w:pPr>
        <w:pStyle w:val="ad"/>
        <w:spacing w:line="360" w:lineRule="auto"/>
        <w:jc w:val="both"/>
        <w:rPr>
          <w:rFonts w:ascii="Arial" w:hAnsi="Arial"/>
          <w:noProof w:val="0"/>
        </w:rPr>
      </w:pPr>
      <w:r>
        <w:rPr>
          <w:rFonts w:ascii="Arial" w:hAnsi="Arial"/>
          <w:noProof w:val="0"/>
          <w:rtl/>
        </w:rPr>
        <w:t xml:space="preserve">[ראו פירוט נוסף בסוגיה זו: עמ"ש (מחוזי מרכז) 5174-09-15 </w:t>
      </w:r>
      <w:r>
        <w:rPr>
          <w:rFonts w:ascii="Arial" w:hAnsi="Arial"/>
          <w:b/>
          <w:bCs/>
          <w:noProof w:val="0"/>
          <w:rtl/>
        </w:rPr>
        <w:t>א. ג נ' א. מ</w:t>
      </w:r>
      <w:r>
        <w:rPr>
          <w:rFonts w:ascii="Arial" w:hAnsi="Arial"/>
          <w:noProof w:val="0"/>
          <w:rtl/>
        </w:rPr>
        <w:t xml:space="preserve"> (מאגרים משפטיים, 19.02.2017)]. </w:t>
      </w:r>
    </w:p>
    <w:p w:rsidR="00511F4D" w:rsidRDefault="00511F4D" w:rsidP="00511F4D">
      <w:pPr>
        <w:pStyle w:val="ad"/>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בפסיקה הוגדרה זכות "בר הרשות" כהיתר להחזיק במקרקעין, בתמורה או שלא בתמורה. בין אם מדובר ברישיון מכללא, הנלמד מהתנהגות הצדדים ובין אם מדובר ברישיון שניתן בהסכמה מפורשת בין הצדדים.</w:t>
      </w:r>
    </w:p>
    <w:p w:rsidR="00511F4D" w:rsidRDefault="00511F4D" w:rsidP="00511F4D">
      <w:pPr>
        <w:pStyle w:val="ad"/>
        <w:spacing w:line="360" w:lineRule="auto"/>
        <w:jc w:val="both"/>
        <w:rPr>
          <w:rFonts w:ascii="Arial" w:hAnsi="Arial"/>
          <w:noProof w:val="0"/>
        </w:rPr>
      </w:pPr>
      <w:r>
        <w:rPr>
          <w:rFonts w:ascii="Arial" w:hAnsi="Arial"/>
          <w:noProof w:val="0"/>
          <w:rtl/>
        </w:rPr>
        <w:t>בשני המקרים, וככל שלא מדובר ברישיון "בלתי הדיר", הדרך לסיום הרישיון הינה בגילוי דעתו של בעל המקרקעין כי ברצונו לסיים את הרישיון להחזיק במקרקעין.</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עם זאת, קיימים מקרים בהם, בהתבסס על דיני היושר, ימנע ביהמ"ש סילוקו של בר הרשות.</w:t>
      </w:r>
    </w:p>
    <w:p w:rsidR="00511F4D" w:rsidRDefault="00511F4D" w:rsidP="00511F4D">
      <w:pPr>
        <w:pStyle w:val="ad"/>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רישיון בתמורה כשמו, הוא רישיון לשימוש במקרקעין הניתן בתמורה המשולמת בצורה חד פעמית או מעת לעת. </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סיווג הרישיון כרישיון הדיר או בלתי הדיר, תלוי בנסיבותיו כל מקרה ומקרה, אולם הפסיקה ממעטת לקבוע כי רישיון הינו בלתי הדיר, וברוב המקרים, נקבע בפסיקה, כי הרישיון הינו הדיר, זאת בשל היותה של זכות הקניין זכות חוקתית וקביעה כי רישיון הינו בלתי הדיר וכי לא ניתן להורות על ביטולו, פוגעת פגיעה קשה בזכויותיו של בעל המקרקעין.</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גם כאשר עסקינן ברישיון בתמורה, לא בהכרח ייקבע כי מדובר ברישיון בלתי הדיר [ראו לעניין זה: ע"א 7242/00 </w:t>
      </w:r>
      <w:r>
        <w:rPr>
          <w:rFonts w:ascii="Arial" w:hAnsi="Arial"/>
          <w:b/>
          <w:bCs/>
          <w:noProof w:val="0"/>
          <w:rtl/>
        </w:rPr>
        <w:t>רשות הנמלים והרכבות נ' כדורי</w:t>
      </w:r>
      <w:r w:rsidR="00EC4312">
        <w:rPr>
          <w:rFonts w:ascii="Arial" w:hAnsi="Arial"/>
          <w:noProof w:val="0"/>
          <w:rtl/>
        </w:rPr>
        <w:t xml:space="preserve"> (מאגרים משפטיים)].</w:t>
      </w:r>
      <w:r>
        <w:rPr>
          <w:rFonts w:ascii="Arial" w:hAnsi="Arial"/>
          <w:noProof w:val="0"/>
          <w:rtl/>
        </w:rPr>
        <w:t xml:space="preserve"> ייתכנו מקרים חריגים, בהם רישיון שניתן שלא בתמורה יוכר כרישיון בלתי הדיר [ראו למשל: ע"א 515/76 </w:t>
      </w:r>
      <w:r>
        <w:rPr>
          <w:rFonts w:ascii="Arial" w:hAnsi="Arial"/>
          <w:b/>
          <w:bCs/>
          <w:noProof w:val="0"/>
          <w:rtl/>
        </w:rPr>
        <w:t>לוי נ' ויימן</w:t>
      </w:r>
      <w:r>
        <w:rPr>
          <w:rFonts w:ascii="Arial" w:hAnsi="Arial"/>
          <w:noProof w:val="0"/>
          <w:rtl/>
        </w:rPr>
        <w:t>, פ"ד לא(2) 127, 132-134] ויש לבחון כל מקרה ומקרה לאור הנסיבות בהתאם לשיקולי צדק.</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באשר לשיקולים שיש לבחון לצורך קביעה האם מדובר ברישיון בלתי הדיר, אם לאו, נקבע בפסיקה כי על ביהמ"ש לבחון, בין השאר, את כוונת הצדדים ליצירת רישיון, תנאי הרישיון, משך הזמן בו החזיק בעל הרישיון בקרקע בלי שפעל בעליה לסילוקו; כמו כן יש לבחון האם בהסתמך על ציפייה זו השקיע בעל הרישיון השקעות בנכס, כגון הקמת מבנה או שיפור מבנה </w:t>
      </w:r>
      <w:r>
        <w:rPr>
          <w:rFonts w:ascii="Arial" w:hAnsi="Arial"/>
          <w:noProof w:val="0"/>
          <w:rtl/>
        </w:rPr>
        <w:lastRenderedPageBreak/>
        <w:t>קיים, ומה היקף ההשקעות; האם ההשקעות היו על דעת בעל המקרקעין ובשיתוף פעולה עמו וכדומה (עמ"ש 5174-09-15 דלעיל).</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עם זאת, קיימים מקרים בהם ביהמ"ש יורה על סילוקו של בר הרשות מהנכס כנגד פסיקת פיצויים (ע"א 515/76 הנ"ל). וכך הובהרו הדברים ע"י ביהמ"ש העליון מפי כב' הש' שמגר - "</w:t>
      </w:r>
      <w:r>
        <w:rPr>
          <w:rFonts w:ascii="Arial" w:hAnsi="Arial"/>
          <w:i/>
          <w:iCs/>
          <w:noProof w:val="0"/>
          <w:rtl/>
        </w:rPr>
        <w:t>לא בכל מקרה, בו ניתן רישיון ובעל הנכס מבקש לבטלו דורש הצדק את המשך קיומו של הרישיון, ויש מקרים בהם ניתן, למשל, להסתפק בתשלום פיצויים, כפי שיש גם מקרים, בהם אין הצדק דורש אפילו את תשלומם של פיצויים כלשהם; אף היפוכו של הדבר הוא הנכון, היינו, יש נסיבות, בהן תשלום פיצויים בעקבות סילוק ידו של בעל הרישיון הוא דווקא שיכול לנגוד את תחושת הצדק</w:t>
      </w:r>
      <w:r>
        <w:rPr>
          <w:rFonts w:ascii="Arial" w:hAnsi="Arial"/>
          <w:noProof w:val="0"/>
          <w:rtl/>
        </w:rPr>
        <w:t xml:space="preserve">" [ע"א 496/82 </w:t>
      </w:r>
      <w:r>
        <w:rPr>
          <w:rFonts w:ascii="Arial" w:hAnsi="Arial"/>
          <w:b/>
          <w:bCs/>
          <w:noProof w:val="0"/>
          <w:rtl/>
        </w:rPr>
        <w:t>יצחק רוזן ואח' נ. יגאל סלונים ואח' בע"מ</w:t>
      </w:r>
      <w:r>
        <w:rPr>
          <w:rFonts w:ascii="Arial" w:hAnsi="Arial"/>
          <w:noProof w:val="0"/>
          <w:rtl/>
        </w:rPr>
        <w:t xml:space="preserve">,  (מאגרים משפטיים, 1985)]. </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כך, על דרך הכלל, בר רשות זכאי להחזר בגין השקעותיו במקרקעין, מקום בו השקעותיו השביחו את המקרקעין, זאת בין היתר מכוח דיני עשיית עושר ולא במשפט ומכוח הוראות סעיפים 21(ב), 25 ו-48 </w:t>
      </w:r>
      <w:r>
        <w:rPr>
          <w:rFonts w:ascii="Arial" w:hAnsi="Arial"/>
          <w:b/>
          <w:bCs/>
          <w:noProof w:val="0"/>
          <w:rtl/>
        </w:rPr>
        <w:t>לחוק המקרקעין</w:t>
      </w:r>
      <w:r>
        <w:rPr>
          <w:rFonts w:ascii="Arial" w:hAnsi="Arial"/>
          <w:noProof w:val="0"/>
          <w:rtl/>
        </w:rPr>
        <w:t>, תשכ"ט-1969.</w:t>
      </w:r>
    </w:p>
    <w:p w:rsidR="00511F4D" w:rsidRDefault="00511F4D" w:rsidP="00511F4D">
      <w:pPr>
        <w:pStyle w:val="ad"/>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לסיום ולמען הסר ספק, אציין כי זכויות "בר רשות" ניתנות להעברה או הורשה כל עוד הסכם הרישיון לא אוסר זאת [ראו: עמ"ש (מחוזי באר שבע) 40684-04-15 </w:t>
      </w:r>
      <w:r>
        <w:rPr>
          <w:rFonts w:ascii="Arial" w:hAnsi="Arial"/>
          <w:b/>
          <w:bCs/>
          <w:noProof w:val="0"/>
          <w:rtl/>
        </w:rPr>
        <w:t>ש.ל נ' י.ל</w:t>
      </w:r>
      <w:r>
        <w:rPr>
          <w:rFonts w:ascii="Arial" w:hAnsi="Arial"/>
          <w:noProof w:val="0"/>
          <w:rtl/>
        </w:rPr>
        <w:t xml:space="preserve"> (מאגרים משפטיים, 04.02.2016)]</w:t>
      </w:r>
      <w:r w:rsidR="007F75CD">
        <w:rPr>
          <w:rFonts w:ascii="Arial" w:hAnsi="Arial" w:hint="cs"/>
          <w:noProof w:val="0"/>
          <w:rtl/>
        </w:rPr>
        <w:t xml:space="preserve"> וסבורני כי כך גם לגבי הזכות לקבלת תמורה בגין הרישיון שניתן</w:t>
      </w:r>
      <w:r>
        <w:rPr>
          <w:rFonts w:ascii="Arial" w:hAnsi="Arial"/>
          <w:noProof w:val="0"/>
          <w:rtl/>
        </w:rPr>
        <w:t>.</w:t>
      </w:r>
    </w:p>
    <w:p w:rsidR="00511F4D" w:rsidRPr="007F75CD" w:rsidRDefault="00511F4D" w:rsidP="00511F4D">
      <w:pPr>
        <w:pStyle w:val="ad"/>
        <w:spacing w:line="360" w:lineRule="auto"/>
        <w:rPr>
          <w:rFonts w:ascii="Arial" w:hAnsi="Arial"/>
          <w:noProof w:val="0"/>
        </w:rPr>
      </w:pPr>
    </w:p>
    <w:p w:rsidR="00511F4D" w:rsidRDefault="00511F4D" w:rsidP="00511F4D">
      <w:pPr>
        <w:spacing w:line="360" w:lineRule="auto"/>
        <w:ind w:firstLine="360"/>
        <w:rPr>
          <w:rFonts w:ascii="Arial" w:hAnsi="Arial"/>
          <w:b/>
          <w:bCs/>
          <w:noProof w:val="0"/>
          <w:rtl/>
        </w:rPr>
      </w:pPr>
      <w:r>
        <w:rPr>
          <w:rFonts w:ascii="Arial" w:hAnsi="Arial"/>
          <w:b/>
          <w:bCs/>
          <w:noProof w:val="0"/>
          <w:rtl/>
        </w:rPr>
        <w:t>ועתה מן הדין אל הנדון:</w:t>
      </w: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במקרה שבפני, אין מחלוקת כי הצוואה קוימה (וזאת בסייג שנקבע בהסכמות הצדדים מיום 13.9.2020- ראו סע' 11 לעיל)  והוראותיה מלמדות הן על גבולות הרישיון שניתן על ידי המנוח והן על הסכמות מכללא, שהונהגו במשך חייו.</w:t>
      </w:r>
    </w:p>
    <w:p w:rsidR="00511F4D" w:rsidRDefault="00511F4D" w:rsidP="00511F4D">
      <w:pPr>
        <w:pStyle w:val="ad"/>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אדגיש גם כן, כי אופי הרישיון שניתן לתובע אינו מצוי במחלוקת (על אף שגובה התשלום בגין אותו רישיון אינו מוסכם) והדבר מתיישב אף אם טענת התובע בסעיף 11 לסיכומיו</w:t>
      </w:r>
      <w:r w:rsidR="007F75CD">
        <w:rPr>
          <w:rFonts w:ascii="Arial" w:hAnsi="Arial" w:hint="cs"/>
          <w:noProof w:val="0"/>
          <w:rtl/>
        </w:rPr>
        <w:t>,</w:t>
      </w:r>
      <w:r>
        <w:rPr>
          <w:rFonts w:ascii="Arial" w:hAnsi="Arial"/>
          <w:noProof w:val="0"/>
          <w:rtl/>
        </w:rPr>
        <w:t xml:space="preserve"> כי הרישיון ניתן לו בתמורה.</w:t>
      </w:r>
    </w:p>
    <w:p w:rsidR="00511F4D" w:rsidRDefault="00511F4D" w:rsidP="00511F4D">
      <w:pPr>
        <w:pStyle w:val="ad"/>
        <w:spacing w:line="360" w:lineRule="auto"/>
        <w:jc w:val="both"/>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המנוח הבהיר בצוואתו כי התובע והנתבע 3 השקיעו מכספם בבניית הדירה בה הם מתגוררים, וכי הם זכאים לפיצוי בגין פינוי דירות אלה, וכן כי הם זכאים לקבל את סכום ההשקעה שהשקיעו בבניית הדירה, בקיזוז שכר דירה חודשי ראוי</w:t>
      </w:r>
      <w:r w:rsidR="007F75CD">
        <w:rPr>
          <w:rFonts w:ascii="Arial" w:hAnsi="Arial" w:hint="cs"/>
          <w:noProof w:val="0"/>
          <w:rtl/>
        </w:rPr>
        <w:t>,</w:t>
      </w:r>
      <w:r>
        <w:rPr>
          <w:rFonts w:ascii="Arial" w:hAnsi="Arial"/>
          <w:noProof w:val="0"/>
          <w:rtl/>
        </w:rPr>
        <w:t xml:space="preserve"> וזאת ממועד הפטירה ועד לפינויים </w:t>
      </w:r>
      <w:r>
        <w:rPr>
          <w:rFonts w:ascii="Arial" w:hAnsi="Arial"/>
          <w:noProof w:val="0"/>
          <w:rtl/>
        </w:rPr>
        <w:lastRenderedPageBreak/>
        <w:t>ממנה בפועל. לצורך כך אף ניתנו הוראות למינוי שמאי באמצעות מנהל העיזבון (סעיף 9 לצוואה).</w:t>
      </w:r>
    </w:p>
    <w:p w:rsidR="00511F4D" w:rsidRDefault="00511F4D" w:rsidP="00511F4D">
      <w:pPr>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המנוח הבהיר עוד</w:t>
      </w:r>
      <w:r w:rsidR="007F75CD">
        <w:rPr>
          <w:rFonts w:ascii="Arial" w:hAnsi="Arial" w:hint="cs"/>
          <w:noProof w:val="0"/>
          <w:rtl/>
        </w:rPr>
        <w:t>,</w:t>
      </w:r>
      <w:r>
        <w:rPr>
          <w:rFonts w:ascii="Arial" w:hAnsi="Arial"/>
          <w:noProof w:val="0"/>
          <w:rtl/>
        </w:rPr>
        <w:t xml:space="preserve"> כי תשלומים ששולמו לצורך הסדרת המקרקעין, דוגמת דמי חכירה ו/או אגרות וכדו' לרמ"י ו/או למעוצה המקומית, לא יושבו למי ששילמם וזאת משהללו שולמו בתמורה למגורים במשק עד למועד פטירתו של המנוח (סעיף 10 לצוואה).</w:t>
      </w:r>
    </w:p>
    <w:p w:rsidR="00511F4D" w:rsidRDefault="00511F4D" w:rsidP="00511F4D">
      <w:pPr>
        <w:pStyle w:val="ad"/>
        <w:spacing w:line="360" w:lineRule="auto"/>
        <w:jc w:val="both"/>
        <w:rPr>
          <w:rFonts w:ascii="Arial" w:hAnsi="Arial"/>
          <w:noProof w:val="0"/>
        </w:rPr>
      </w:pPr>
    </w:p>
    <w:p w:rsidR="00511F4D" w:rsidRPr="007F75CD" w:rsidRDefault="00511F4D" w:rsidP="007F75CD">
      <w:pPr>
        <w:pStyle w:val="ad"/>
        <w:numPr>
          <w:ilvl w:val="0"/>
          <w:numId w:val="1"/>
        </w:numPr>
        <w:spacing w:line="360" w:lineRule="auto"/>
        <w:jc w:val="both"/>
        <w:rPr>
          <w:rFonts w:ascii="Arial" w:hAnsi="Arial"/>
          <w:noProof w:val="0"/>
        </w:rPr>
      </w:pPr>
      <w:r>
        <w:rPr>
          <w:rFonts w:ascii="Arial" w:hAnsi="Arial"/>
          <w:noProof w:val="0"/>
          <w:rtl/>
        </w:rPr>
        <w:t xml:space="preserve">בנסיבות בהן רשות המגורים ניתנה בתמורה לתשלום מיסים, היטלים ו/או אגרות, הרי שמגוריו של התובע בדירה ניתנו לו ברישיון בתמורה. תמורה זו הוגדרה באופן מסוים דיו- מגורים עד למועד הפטירה בתמורה לתשלומים המפורטים </w:t>
      </w:r>
      <w:r w:rsidRPr="005B5C83">
        <w:rPr>
          <w:rFonts w:ascii="Arial" w:hAnsi="Arial"/>
          <w:noProof w:val="0"/>
          <w:rtl/>
        </w:rPr>
        <w:t xml:space="preserve">בסעיף </w:t>
      </w:r>
      <w:r w:rsidR="005B5C83">
        <w:rPr>
          <w:rFonts w:ascii="Arial" w:hAnsi="Arial" w:hint="cs"/>
          <w:noProof w:val="0"/>
          <w:rtl/>
        </w:rPr>
        <w:t>56</w:t>
      </w:r>
      <w:r>
        <w:rPr>
          <w:rFonts w:ascii="Arial" w:hAnsi="Arial"/>
          <w:noProof w:val="0"/>
          <w:rtl/>
        </w:rPr>
        <w:t xml:space="preserve"> לעיל</w:t>
      </w:r>
      <w:r w:rsidR="007F75CD">
        <w:rPr>
          <w:rFonts w:ascii="Arial" w:hAnsi="Arial" w:hint="cs"/>
          <w:noProof w:val="0"/>
          <w:rtl/>
        </w:rPr>
        <w:t>,</w:t>
      </w:r>
      <w:r w:rsidRPr="007F75CD">
        <w:rPr>
          <w:rFonts w:ascii="Arial" w:hAnsi="Arial"/>
          <w:noProof w:val="0"/>
          <w:rtl/>
        </w:rPr>
        <w:t xml:space="preserve"> ו</w:t>
      </w:r>
      <w:r w:rsidR="005B5C83" w:rsidRPr="007F75CD">
        <w:rPr>
          <w:rFonts w:ascii="Arial" w:hAnsi="Arial" w:hint="cs"/>
          <w:noProof w:val="0"/>
          <w:rtl/>
        </w:rPr>
        <w:t xml:space="preserve">זאת </w:t>
      </w:r>
      <w:r w:rsidRPr="007F75CD">
        <w:rPr>
          <w:rFonts w:ascii="Arial" w:hAnsi="Arial"/>
          <w:noProof w:val="0"/>
          <w:rtl/>
        </w:rPr>
        <w:t>כחלף דמי שכירות ראויים.</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המנוח הגדיר גם כן מהם התנאים להמשך המגורים בדירה לאחר פטירתו- תשלום מחצית משווי דמי שימוש ראויים מידי חודש בחודשו [ודומה כי לולי צמצום החיוב כפי שנקבע בצוואה, ניתן היה לחייב הילדים המתגוררים במשק במלוא דמי השימוש הראויים בגין המשך השימוש והמגורים של אותו צאצא בנכס הרלוונטי] (ראו: סעיף 11 לצוואה).</w:t>
      </w:r>
    </w:p>
    <w:p w:rsidR="00511F4D" w:rsidRDefault="00511F4D" w:rsidP="00511F4D">
      <w:pPr>
        <w:pStyle w:val="ad"/>
        <w:spacing w:line="360" w:lineRule="auto"/>
        <w:rPr>
          <w:rFonts w:ascii="Arial" w:hAnsi="Arial"/>
          <w:noProof w:val="0"/>
        </w:rPr>
      </w:pPr>
    </w:p>
    <w:p w:rsidR="00511F4D" w:rsidRDefault="00511F4D" w:rsidP="000952D5">
      <w:pPr>
        <w:pStyle w:val="ad"/>
        <w:spacing w:line="360" w:lineRule="auto"/>
        <w:jc w:val="both"/>
        <w:rPr>
          <w:rFonts w:ascii="Arial" w:hAnsi="Arial"/>
          <w:noProof w:val="0"/>
          <w:rtl/>
        </w:rPr>
      </w:pPr>
      <w:r>
        <w:rPr>
          <w:rFonts w:ascii="Arial" w:hAnsi="Arial"/>
          <w:noProof w:val="0"/>
          <w:rtl/>
        </w:rPr>
        <w:t>עם זאת, בעוד שהרישיון המקורי למגורים עד למועד פטירת המנוח</w:t>
      </w:r>
      <w:r w:rsidR="00B12A01">
        <w:rPr>
          <w:rFonts w:ascii="Arial" w:hAnsi="Arial" w:hint="cs"/>
          <w:noProof w:val="0"/>
          <w:rtl/>
        </w:rPr>
        <w:t>,</w:t>
      </w:r>
      <w:r>
        <w:rPr>
          <w:rFonts w:ascii="Arial" w:hAnsi="Arial"/>
          <w:noProof w:val="0"/>
          <w:rtl/>
        </w:rPr>
        <w:t xml:space="preserve"> שניתן בתמורה לתשלום מיסים, אגרות והיטלים</w:t>
      </w:r>
      <w:r w:rsidR="00B12A01">
        <w:rPr>
          <w:rFonts w:ascii="Arial" w:hAnsi="Arial" w:hint="cs"/>
          <w:noProof w:val="0"/>
          <w:rtl/>
        </w:rPr>
        <w:t>,</w:t>
      </w:r>
      <w:r>
        <w:rPr>
          <w:rFonts w:ascii="Arial" w:hAnsi="Arial"/>
          <w:noProof w:val="0"/>
          <w:rtl/>
        </w:rPr>
        <w:t xml:space="preserve"> התגבש בהסכמת המנוח, התובע והנתבע 3 (איש איש ורישיונו), הרי שהחלטת המנוח על חיוב בתשלום דמי השכירות בגין המגורים לאחר פטירתו (כפי שבאה לידי ביטוי בצוואתו) דורשת הסכמת בעלי הרישיון וככל שהללו אינם מסכימים לתשלום התמורה (50% מדמי שכירות ראויים), מפקיעים הם מעליהם את הרישיון שניתן להם ועליהם לפנות את הנכס בו הם מתגוררים מכוח אותו רישיון (ואדרש לסוגיה זו ביתר פירוט </w:t>
      </w:r>
      <w:r w:rsidR="00B12A01">
        <w:rPr>
          <w:rFonts w:ascii="Arial" w:hAnsi="Arial" w:hint="cs"/>
          <w:noProof w:val="0"/>
          <w:rtl/>
        </w:rPr>
        <w:t>להלן בעניין התובענה</w:t>
      </w:r>
      <w:r>
        <w:rPr>
          <w:rFonts w:ascii="Arial" w:hAnsi="Arial"/>
          <w:noProof w:val="0"/>
          <w:rtl/>
        </w:rPr>
        <w:t xml:space="preserve"> לתשלום דמי שכירות ופינוי).</w:t>
      </w:r>
    </w:p>
    <w:p w:rsidR="00511F4D" w:rsidRDefault="00511F4D" w:rsidP="00511F4D">
      <w:pPr>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הנה, לא בכדי לא גבה המנוח דמי שכירות מילדיו במהלך חייו (ראו גם עדותה של הנתבעת 1, בעמ' 79 ו- 80 לפרוטוקול הדיון מיום 17.1.2023, שם אישרה כי לא נגבו דמי שכירות מאף לא אחד מהילדים במהלך חייו של המנוח), שכן הסכמת המנוח וילדיו (בין אם נלמד עליה מהתנהגותם של הצדדים במהלך חייו של המנוח ובין אם מהוראות הצוואה) הייתה שזכות המגורים עד לפטירתו, ניתנת להם בתמורה לתשלומים לרשויות, כמפורט לעיל.</w:t>
      </w:r>
    </w:p>
    <w:p w:rsidR="00511F4D" w:rsidRDefault="00511F4D" w:rsidP="00511F4D">
      <w:pPr>
        <w:pStyle w:val="ad"/>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אם כן, בשעה שהסקתי כי מדובר ברישיון בתמורה, הרי שבהיעדר תשלום תמורה (כפי שהורה המנוח בצוואתו) פוקע הרישיון. כך וככל שלא שולמו </w:t>
      </w:r>
      <w:r w:rsidR="000952D5">
        <w:rPr>
          <w:rFonts w:ascii="Arial" w:hAnsi="Arial" w:hint="cs"/>
          <w:noProof w:val="0"/>
          <w:rtl/>
        </w:rPr>
        <w:t xml:space="preserve">ו/או ככל שלא ישולמו בעתיד </w:t>
      </w:r>
      <w:r>
        <w:rPr>
          <w:rFonts w:ascii="Arial" w:hAnsi="Arial"/>
          <w:noProof w:val="0"/>
          <w:rtl/>
        </w:rPr>
        <w:t xml:space="preserve">ע"י התובע </w:t>
      </w:r>
      <w:r>
        <w:rPr>
          <w:rFonts w:ascii="Arial" w:hAnsi="Arial"/>
          <w:noProof w:val="0"/>
          <w:rtl/>
        </w:rPr>
        <w:lastRenderedPageBreak/>
        <w:t>ההוצאות השוטפות בגין השימוש ביחידת המגורים שבה הוא עושה שימוש, הרי שבמיוחד לנוכח הוראות סעיף 12 לצוואה, פוקע הרישיון.</w:t>
      </w:r>
    </w:p>
    <w:p w:rsidR="00511F4D" w:rsidRDefault="00511F4D" w:rsidP="00511F4D">
      <w:pPr>
        <w:spacing w:line="360" w:lineRule="auto"/>
        <w:rPr>
          <w:rFonts w:ascii="Arial" w:hAnsi="Arial"/>
          <w:noProof w:val="0"/>
          <w:highlight w:val="yellow"/>
        </w:rPr>
      </w:pPr>
    </w:p>
    <w:p w:rsidR="00511F4D" w:rsidRDefault="00511F4D" w:rsidP="00511F4D">
      <w:pPr>
        <w:spacing w:line="360" w:lineRule="auto"/>
        <w:ind w:left="360"/>
        <w:rPr>
          <w:rFonts w:ascii="Arial" w:hAnsi="Arial"/>
          <w:b/>
          <w:bCs/>
          <w:noProof w:val="0"/>
        </w:rPr>
      </w:pPr>
      <w:r>
        <w:rPr>
          <w:rFonts w:ascii="Arial" w:hAnsi="Arial"/>
          <w:b/>
          <w:bCs/>
          <w:noProof w:val="0"/>
          <w:rtl/>
        </w:rPr>
        <w:t>ומן הכלל אל הפרט:</w:t>
      </w:r>
    </w:p>
    <w:p w:rsidR="00511F4D" w:rsidRDefault="00511F4D" w:rsidP="00511F4D">
      <w:pPr>
        <w:spacing w:line="360" w:lineRule="auto"/>
        <w:ind w:left="360"/>
        <w:rPr>
          <w:rFonts w:ascii="Arial" w:hAnsi="Arial"/>
          <w:b/>
          <w:bCs/>
          <w:noProof w:val="0"/>
          <w:rtl/>
        </w:rPr>
      </w:pPr>
    </w:p>
    <w:p w:rsidR="00511F4D" w:rsidRDefault="00511F4D" w:rsidP="00511F4D">
      <w:pPr>
        <w:pStyle w:val="ad"/>
        <w:numPr>
          <w:ilvl w:val="0"/>
          <w:numId w:val="2"/>
        </w:numPr>
        <w:spacing w:line="360" w:lineRule="auto"/>
        <w:rPr>
          <w:rFonts w:ascii="Arial" w:hAnsi="Arial"/>
          <w:b/>
          <w:bCs/>
          <w:noProof w:val="0"/>
          <w:rtl/>
        </w:rPr>
      </w:pPr>
      <w:r>
        <w:rPr>
          <w:rFonts w:ascii="Arial" w:hAnsi="Arial"/>
          <w:b/>
          <w:bCs/>
          <w:noProof w:val="0"/>
          <w:rtl/>
        </w:rPr>
        <w:t>הזכות לקבלת דמי שכירות</w:t>
      </w: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לעניין הסעד ההצהרתי שהתבקש בכתב התביעה (סע' 32א) כי למנוח לא עמדה הזכות לקבלת דמי שכירות מהתובע ועל כן הוא לא יכול היה להוריש זכות זו בצוואתו, מצאתי כי דין טענה זו להידחות. </w:t>
      </w:r>
    </w:p>
    <w:p w:rsidR="00511F4D" w:rsidRDefault="00511F4D" w:rsidP="00511F4D">
      <w:pPr>
        <w:pStyle w:val="ad"/>
        <w:spacing w:line="360" w:lineRule="auto"/>
        <w:jc w:val="both"/>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לנוכח מסקנותיי דלעיל בעניין מהותו והיקפו של הרישיון שניתן לתובע- </w:t>
      </w:r>
      <w:r>
        <w:rPr>
          <w:rFonts w:ascii="Arial" w:hAnsi="Arial"/>
          <w:b/>
          <w:bCs/>
          <w:noProof w:val="0"/>
          <w:rtl/>
        </w:rPr>
        <w:t>בר רשות בתמורה</w:t>
      </w:r>
      <w:r>
        <w:rPr>
          <w:rFonts w:ascii="Arial" w:hAnsi="Arial"/>
          <w:noProof w:val="0"/>
          <w:rtl/>
        </w:rPr>
        <w:t>, הרי שעם פטירתו של המנוח חלות על התובע הוראות סעיף 11 לצוואה וזאת ככל שיחפוץ להמשיך ולעשות שימוש ברישיון שניתן לו.</w:t>
      </w:r>
    </w:p>
    <w:p w:rsidR="00511F4D" w:rsidRDefault="00511F4D" w:rsidP="00511F4D">
      <w:pPr>
        <w:pStyle w:val="ad"/>
        <w:spacing w:line="360" w:lineRule="auto"/>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כפי שהבהרתי לעיל, מצאתי כי הסכמת התובע והמנוח הייתה למתן רישיון במקרקעין, המתחלק לשתי תקופות: </w:t>
      </w:r>
    </w:p>
    <w:p w:rsidR="00511F4D" w:rsidRDefault="00511F4D" w:rsidP="00511F4D">
      <w:pPr>
        <w:pStyle w:val="ad"/>
        <w:spacing w:line="360" w:lineRule="auto"/>
        <w:rPr>
          <w:rFonts w:ascii="Arial" w:hAnsi="Arial"/>
          <w:noProof w:val="0"/>
          <w:rtl/>
        </w:rPr>
      </w:pPr>
    </w:p>
    <w:p w:rsidR="00511F4D" w:rsidRDefault="00511F4D" w:rsidP="00326B94">
      <w:pPr>
        <w:pStyle w:val="ad"/>
        <w:spacing w:line="360" w:lineRule="auto"/>
        <w:jc w:val="both"/>
        <w:rPr>
          <w:rFonts w:ascii="Arial" w:hAnsi="Arial"/>
          <w:noProof w:val="0"/>
        </w:rPr>
      </w:pPr>
      <w:r>
        <w:rPr>
          <w:rFonts w:ascii="Arial" w:hAnsi="Arial"/>
          <w:b/>
          <w:bCs/>
          <w:noProof w:val="0"/>
          <w:rtl/>
        </w:rPr>
        <w:t>האחת-</w:t>
      </w:r>
      <w:r>
        <w:rPr>
          <w:rFonts w:ascii="Arial" w:hAnsi="Arial"/>
          <w:noProof w:val="0"/>
          <w:rtl/>
        </w:rPr>
        <w:t xml:space="preserve"> תקופה שעד למועד פטירת המנוח, שבה הרישיון ניתן בתמורה לתשלום מיסים, אגרות והיטלים </w:t>
      </w:r>
      <w:r w:rsidRPr="000952D5">
        <w:rPr>
          <w:rFonts w:ascii="Arial" w:hAnsi="Arial"/>
          <w:noProof w:val="0"/>
          <w:rtl/>
        </w:rPr>
        <w:t xml:space="preserve">(כמפורט בסעיף </w:t>
      </w:r>
      <w:r w:rsidR="00326B94" w:rsidRPr="000952D5">
        <w:rPr>
          <w:rFonts w:ascii="Arial" w:hAnsi="Arial" w:hint="cs"/>
          <w:noProof w:val="0"/>
          <w:rtl/>
        </w:rPr>
        <w:t>56</w:t>
      </w:r>
      <w:r w:rsidRPr="000952D5">
        <w:rPr>
          <w:rFonts w:ascii="Arial" w:hAnsi="Arial"/>
          <w:noProof w:val="0"/>
          <w:rtl/>
        </w:rPr>
        <w:t xml:space="preserve"> לעיל</w:t>
      </w:r>
      <w:r>
        <w:rPr>
          <w:rFonts w:ascii="Arial" w:hAnsi="Arial"/>
          <w:noProof w:val="0"/>
          <w:rtl/>
        </w:rPr>
        <w:t xml:space="preserve"> וע"פ סע' 10 לצוואה). ביחס לתקופה זו, קיימת הסכמה, הנלמדת מהתנהגותו של התובע, ומשכך מנוע התובע מלדרוש השבה של תשלומים אלה (ראו בעניין זה גם: סעיף 6ג להחלטתי מיום 12.8.2021 בה קבעתי כי אין בתשלומים אלה כדי להוות בסיס לדרישת פיצוי כלשהו).</w:t>
      </w:r>
    </w:p>
    <w:p w:rsidR="00511F4D" w:rsidRDefault="00511F4D" w:rsidP="00511F4D">
      <w:pPr>
        <w:pStyle w:val="ad"/>
        <w:spacing w:line="360" w:lineRule="auto"/>
        <w:jc w:val="both"/>
        <w:rPr>
          <w:rFonts w:ascii="Arial" w:hAnsi="Arial"/>
          <w:noProof w:val="0"/>
          <w:rtl/>
        </w:rPr>
      </w:pPr>
    </w:p>
    <w:p w:rsidR="00511F4D" w:rsidRDefault="00511F4D" w:rsidP="00511F4D">
      <w:pPr>
        <w:pStyle w:val="ad"/>
        <w:spacing w:line="360" w:lineRule="auto"/>
        <w:jc w:val="both"/>
        <w:rPr>
          <w:rFonts w:ascii="Arial" w:hAnsi="Arial"/>
          <w:noProof w:val="0"/>
          <w:rtl/>
        </w:rPr>
      </w:pPr>
      <w:r>
        <w:rPr>
          <w:rFonts w:ascii="Arial" w:hAnsi="Arial"/>
          <w:b/>
          <w:bCs/>
          <w:noProof w:val="0"/>
          <w:rtl/>
        </w:rPr>
        <w:t xml:space="preserve">והשנייה- </w:t>
      </w:r>
      <w:r>
        <w:rPr>
          <w:rFonts w:ascii="Arial" w:hAnsi="Arial"/>
          <w:noProof w:val="0"/>
          <w:rtl/>
        </w:rPr>
        <w:t>תקופה שלאחר פטירת המנוח ועד לפינוי הדירה, שביחס אליה הבהיר המנוח כי הרישיון ניתן לתובע ולנתבע 3 בתמורה לתשלום שכירות בגובה של 50% משווי דמי שכירות של נכס דומה. הוראה זו דורשת הסכמתו של התובע, וזאת משרישיון בתמורה מחייב הסכמת שני המתקשרים בו- נותן הרישיון ומקבל הרישיון</w:t>
      </w:r>
      <w:r w:rsidR="004C6C80">
        <w:rPr>
          <w:rFonts w:ascii="Arial" w:hAnsi="Arial" w:hint="cs"/>
          <w:noProof w:val="0"/>
          <w:rtl/>
        </w:rPr>
        <w:t xml:space="preserve"> (ראו התייחסות להלן)</w:t>
      </w:r>
      <w:r>
        <w:rPr>
          <w:rFonts w:ascii="Arial" w:hAnsi="Arial"/>
          <w:noProof w:val="0"/>
          <w:rtl/>
        </w:rPr>
        <w:t xml:space="preserve">. </w:t>
      </w:r>
    </w:p>
    <w:p w:rsidR="00511F4D" w:rsidRDefault="00511F4D" w:rsidP="00511F4D">
      <w:pPr>
        <w:spacing w:line="360" w:lineRule="auto"/>
        <w:jc w:val="both"/>
        <w:rPr>
          <w:rFonts w:ascii="Arial" w:hAnsi="Arial"/>
          <w:noProof w:val="0"/>
          <w:rtl/>
        </w:rPr>
      </w:pPr>
    </w:p>
    <w:p w:rsidR="00511F4D" w:rsidRDefault="00511F4D" w:rsidP="00511F4D">
      <w:pPr>
        <w:pStyle w:val="ad"/>
        <w:numPr>
          <w:ilvl w:val="0"/>
          <w:numId w:val="2"/>
        </w:numPr>
        <w:spacing w:line="360" w:lineRule="auto"/>
        <w:jc w:val="both"/>
        <w:rPr>
          <w:rFonts w:ascii="Arial" w:hAnsi="Arial"/>
          <w:b/>
          <w:bCs/>
          <w:noProof w:val="0"/>
          <w:rtl/>
        </w:rPr>
      </w:pPr>
      <w:r>
        <w:rPr>
          <w:rFonts w:ascii="Arial" w:hAnsi="Arial"/>
          <w:b/>
          <w:bCs/>
          <w:noProof w:val="0"/>
          <w:rtl/>
        </w:rPr>
        <w:t>עתירת התובע ליתן בידו זכות מגורים בלתי הדירה</w:t>
      </w: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כחלק מסעדי התביעה, עתר התובע להורות כי לו ולבני משפחתו (גרושתו וילדיו) זכות מגורים בלתי הדירה במשק עד למועד מכירת הזכויות במשק או עד לפירוק השיתוף בו (סע' 32ב לכתב התביעה).</w:t>
      </w:r>
    </w:p>
    <w:p w:rsidR="00511F4D" w:rsidRDefault="00511F4D" w:rsidP="00511F4D">
      <w:pPr>
        <w:pStyle w:val="ad"/>
        <w:spacing w:line="360" w:lineRule="auto"/>
        <w:jc w:val="both"/>
        <w:rPr>
          <w:rFonts w:ascii="Arial" w:hAnsi="Arial"/>
          <w:noProof w:val="0"/>
          <w:rtl/>
        </w:rPr>
      </w:pPr>
    </w:p>
    <w:p w:rsidR="00511F4D" w:rsidRDefault="00511F4D" w:rsidP="00E55B3A">
      <w:pPr>
        <w:pStyle w:val="ad"/>
        <w:numPr>
          <w:ilvl w:val="0"/>
          <w:numId w:val="1"/>
        </w:numPr>
        <w:spacing w:line="360" w:lineRule="auto"/>
        <w:jc w:val="both"/>
        <w:rPr>
          <w:rFonts w:ascii="Arial" w:hAnsi="Arial"/>
          <w:noProof w:val="0"/>
        </w:rPr>
      </w:pPr>
      <w:r>
        <w:rPr>
          <w:rFonts w:ascii="Arial" w:hAnsi="Arial"/>
          <w:noProof w:val="0"/>
          <w:rtl/>
        </w:rPr>
        <w:lastRenderedPageBreak/>
        <w:t>לנוכח מסקנותיי דלעיל ובשעה שגם הנתבעים מסכימים לכך שבכפוף לתשלום שכר דירה, כפי הקבוע בהוראות הצוואה (סע' 11 ו-12) יוכל התובע להמשיך להחזיק ברישיון שניתן לו בתמורה, הרי</w:t>
      </w:r>
      <w:r w:rsidR="00E55B3A">
        <w:rPr>
          <w:rFonts w:ascii="Arial" w:hAnsi="Arial"/>
          <w:noProof w:val="0"/>
          <w:rtl/>
        </w:rPr>
        <w:t xml:space="preserve"> שבכפוף להוראות פסק הדין </w:t>
      </w:r>
      <w:r w:rsidR="00E55B3A">
        <w:rPr>
          <w:rFonts w:ascii="Arial" w:hAnsi="Arial" w:hint="cs"/>
          <w:noProof w:val="0"/>
          <w:rtl/>
        </w:rPr>
        <w:t>להלן, בעניין החיוב בדמי שכירות</w:t>
      </w:r>
      <w:r w:rsidR="00E55B3A">
        <w:rPr>
          <w:rFonts w:ascii="Arial" w:hAnsi="Arial"/>
          <w:noProof w:val="0"/>
          <w:rtl/>
        </w:rPr>
        <w:t xml:space="preserve">, </w:t>
      </w:r>
      <w:r>
        <w:rPr>
          <w:rFonts w:ascii="Arial" w:hAnsi="Arial"/>
          <w:noProof w:val="0"/>
          <w:rtl/>
        </w:rPr>
        <w:t>כל עוד משלם התובע את שכר הדירה, כפי שאורה</w:t>
      </w:r>
      <w:r w:rsidR="00E55B3A">
        <w:rPr>
          <w:rFonts w:ascii="Arial" w:hAnsi="Arial" w:hint="cs"/>
          <w:noProof w:val="0"/>
          <w:rtl/>
        </w:rPr>
        <w:t>,</w:t>
      </w:r>
      <w:r>
        <w:rPr>
          <w:rFonts w:ascii="Arial" w:hAnsi="Arial"/>
          <w:noProof w:val="0"/>
          <w:rtl/>
        </w:rPr>
        <w:t xml:space="preserve"> וכל עוד ישולמו ההוצאות השוטפות בגין השימוש בדירה, </w:t>
      </w:r>
      <w:r w:rsidR="00E55B3A">
        <w:rPr>
          <w:rFonts w:ascii="Arial" w:hAnsi="Arial" w:hint="cs"/>
          <w:noProof w:val="0"/>
          <w:rtl/>
        </w:rPr>
        <w:t>הרי ש</w:t>
      </w:r>
      <w:r>
        <w:rPr>
          <w:rFonts w:ascii="Arial" w:hAnsi="Arial"/>
          <w:noProof w:val="0"/>
          <w:rtl/>
        </w:rPr>
        <w:t>הוא ובני משפחתו (לרבות גרושתו, שהיא למעשה בת זוגו) יוכלו להמשיך ולהחזיק ברישיון, עד למועד למכירת המשק או עד לפירוק השיתוף בו.</w:t>
      </w:r>
    </w:p>
    <w:p w:rsidR="00511F4D" w:rsidRDefault="00511F4D" w:rsidP="00511F4D">
      <w:pPr>
        <w:pStyle w:val="ad"/>
        <w:spacing w:line="360" w:lineRule="auto"/>
        <w:rPr>
          <w:rFonts w:ascii="Arial" w:hAnsi="Arial"/>
          <w:noProof w:val="0"/>
        </w:rPr>
      </w:pPr>
    </w:p>
    <w:p w:rsidR="00511F4D" w:rsidRDefault="00511F4D" w:rsidP="00E55B3A">
      <w:pPr>
        <w:pStyle w:val="ad"/>
        <w:numPr>
          <w:ilvl w:val="0"/>
          <w:numId w:val="1"/>
        </w:numPr>
        <w:spacing w:line="360" w:lineRule="auto"/>
        <w:jc w:val="both"/>
        <w:rPr>
          <w:rFonts w:ascii="Arial" w:hAnsi="Arial"/>
          <w:noProof w:val="0"/>
        </w:rPr>
      </w:pPr>
      <w:r>
        <w:rPr>
          <w:rFonts w:ascii="Arial" w:hAnsi="Arial"/>
          <w:noProof w:val="0"/>
          <w:rtl/>
        </w:rPr>
        <w:t xml:space="preserve">אדגיש כי באותה מידה שהרישיון שניתן לתובע ניתן להורשה, כך מועברים בירושה גם תנאי הרישיון, שנקבעו בצוואת המנוח, ומשכך, בהסכמת הנתבעים, אני מורה כי התובע יוכל להמשיך להחזיק ברישיון המגורים שניתן לו בכפוף לתשלום התמורה (כמפורט </w:t>
      </w:r>
      <w:r w:rsidR="00E55B3A">
        <w:rPr>
          <w:rFonts w:ascii="Arial" w:hAnsi="Arial" w:hint="cs"/>
          <w:noProof w:val="0"/>
          <w:rtl/>
        </w:rPr>
        <w:t>להלן</w:t>
      </w:r>
      <w:r>
        <w:rPr>
          <w:rFonts w:ascii="Arial" w:hAnsi="Arial"/>
          <w:noProof w:val="0"/>
          <w:rtl/>
        </w:rPr>
        <w:t xml:space="preserve">).  </w:t>
      </w:r>
    </w:p>
    <w:p w:rsidR="00511F4D" w:rsidRDefault="00511F4D" w:rsidP="00511F4D">
      <w:pPr>
        <w:spacing w:line="360" w:lineRule="auto"/>
        <w:ind w:left="360"/>
        <w:rPr>
          <w:rFonts w:ascii="Arial" w:hAnsi="Arial"/>
          <w:noProof w:val="0"/>
          <w:rtl/>
        </w:rPr>
      </w:pPr>
    </w:p>
    <w:p w:rsidR="00511F4D" w:rsidRDefault="00511F4D" w:rsidP="00511F4D">
      <w:pPr>
        <w:pStyle w:val="ad"/>
        <w:numPr>
          <w:ilvl w:val="0"/>
          <w:numId w:val="2"/>
        </w:numPr>
        <w:spacing w:line="360" w:lineRule="auto"/>
        <w:rPr>
          <w:rFonts w:ascii="Arial" w:hAnsi="Arial"/>
          <w:b/>
          <w:bCs/>
          <w:noProof w:val="0"/>
        </w:rPr>
      </w:pPr>
      <w:r>
        <w:rPr>
          <w:rFonts w:ascii="Arial" w:hAnsi="Arial"/>
          <w:b/>
          <w:bCs/>
          <w:noProof w:val="0"/>
          <w:rtl/>
        </w:rPr>
        <w:t>סעד לקבלת זכות סירוב ראשונה לתובע</w:t>
      </w: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התובע עתר גם כן להורות כי במקרה של מכירת הזכויות במשק או פירוק השיתוף בו, תינתן לו זכות סירוב ראשונה לרכוש את זכויות יתר היורשים במשק וזאת לנוכח סיכום לכאורי לא כתוב בינו לבין המנוח ולנוכח זיקתו המיוחדת למשק (סעיף 32ג לכתב התביעה).</w:t>
      </w:r>
    </w:p>
    <w:p w:rsidR="00511F4D" w:rsidRDefault="00511F4D" w:rsidP="00511F4D">
      <w:pPr>
        <w:spacing w:line="360" w:lineRule="auto"/>
        <w:ind w:left="360"/>
        <w:jc w:val="both"/>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לא מצאתי ליתן לתובע סעד זה וזאת במיוחד משעסקינן בתובענה לסעד הצהרתי ועתירת התובע תוכל להתברר (אם בכלל) במסגרת תובענה לפירוק שיתוף, אם וככל שתוגש. </w:t>
      </w:r>
    </w:p>
    <w:p w:rsidR="00511F4D" w:rsidRDefault="00511F4D" w:rsidP="00511F4D">
      <w:pPr>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 xml:space="preserve">בסעיף זה עתר התובע להשבה כספית מלאה של כל תשלום ששילם לרשויות עבור הסדרת הזכויות במשק ובניית בתי המגורים. למען הסר ספק ומכל הנימוקים המפורטים לעיל- דין סעד זה להידחות. כאמור, תשלומים אלה שולמו ע"י התובע בתמורה לרישיון מגוריו במשק עד לפטירת אביו ומשכך, אין עילה להורות על השבת כספים אלה. </w:t>
      </w:r>
    </w:p>
    <w:p w:rsidR="00511F4D" w:rsidRDefault="00511F4D" w:rsidP="00511F4D">
      <w:pPr>
        <w:pStyle w:val="ad"/>
        <w:rPr>
          <w:rFonts w:ascii="Arial" w:hAnsi="Arial"/>
          <w:noProof w:val="0"/>
        </w:rPr>
      </w:pPr>
    </w:p>
    <w:p w:rsidR="00511F4D" w:rsidRDefault="00511F4D" w:rsidP="00511F4D">
      <w:pPr>
        <w:pStyle w:val="ad"/>
        <w:spacing w:line="360" w:lineRule="auto"/>
        <w:jc w:val="both"/>
        <w:rPr>
          <w:rFonts w:ascii="Arial" w:hAnsi="Arial"/>
          <w:noProof w:val="0"/>
        </w:rPr>
      </w:pPr>
      <w:r>
        <w:rPr>
          <w:rFonts w:ascii="Arial" w:hAnsi="Arial"/>
          <w:noProof w:val="0"/>
          <w:rtl/>
        </w:rPr>
        <w:t>בשעה שהגעתי לכלל מסקנה זו, איני נדרש לברר האם התשלומים לרשויות שולמו ע"י התובע, אם לאו</w:t>
      </w:r>
      <w:r w:rsidR="00E55B3A">
        <w:rPr>
          <w:rFonts w:ascii="Arial" w:hAnsi="Arial" w:hint="cs"/>
          <w:noProof w:val="0"/>
          <w:rtl/>
        </w:rPr>
        <w:t>,</w:t>
      </w:r>
      <w:r>
        <w:rPr>
          <w:rFonts w:ascii="Arial" w:hAnsi="Arial"/>
          <w:noProof w:val="0"/>
          <w:rtl/>
        </w:rPr>
        <w:t xml:space="preserve"> ומה היקפם, שכן בין אם שולמו על ידו ובין אם לאו, הרי שהללו שולמו תמורת הענקת רישיון המגורים והשימוש במשק עד למועד פטירת המנוח.</w:t>
      </w:r>
    </w:p>
    <w:p w:rsidR="00511F4D" w:rsidRDefault="00511F4D" w:rsidP="00511F4D">
      <w:pPr>
        <w:pStyle w:val="ad"/>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לחילופין, עתר התובע בסעיף זה להורות על השבה כספית מלאה, בתוספת ריבית והצמדה של כל התשלומים ששילם והוציא על המשק, לרבות עלויות הבניה ועוד.</w:t>
      </w:r>
    </w:p>
    <w:p w:rsidR="00511F4D" w:rsidRDefault="00511F4D" w:rsidP="00511F4D">
      <w:pPr>
        <w:pStyle w:val="ad"/>
        <w:rPr>
          <w:rFonts w:ascii="Arial" w:hAnsi="Arial"/>
          <w:noProof w:val="0"/>
          <w:rtl/>
        </w:rPr>
      </w:pPr>
    </w:p>
    <w:p w:rsidR="00511F4D" w:rsidRDefault="00511F4D" w:rsidP="00E55B3A">
      <w:pPr>
        <w:pStyle w:val="ad"/>
        <w:numPr>
          <w:ilvl w:val="0"/>
          <w:numId w:val="1"/>
        </w:numPr>
        <w:spacing w:line="360" w:lineRule="auto"/>
        <w:jc w:val="both"/>
        <w:rPr>
          <w:rFonts w:ascii="Arial" w:hAnsi="Arial"/>
          <w:noProof w:val="0"/>
        </w:rPr>
      </w:pPr>
      <w:r>
        <w:rPr>
          <w:rFonts w:ascii="Arial" w:hAnsi="Arial"/>
          <w:noProof w:val="0"/>
          <w:rtl/>
        </w:rPr>
        <w:t>נהיר כי בעת שיבוצע פירוק השיתוף במשק, יש להשיב את ההשקעות שביצע התובע בנכס הספציפי הרלוונטי (במובחן מאגרות, תשלומים והיטלים, כמופרט לעיל). אלא שבעת הזאת, ביהמ"ש אינו מוסמך ואף טרם ניתנו ביד</w:t>
      </w:r>
      <w:r w:rsidR="00E55B3A">
        <w:rPr>
          <w:rFonts w:ascii="Arial" w:hAnsi="Arial"/>
          <w:noProof w:val="0"/>
          <w:rtl/>
        </w:rPr>
        <w:t xml:space="preserve">יו הכלים לקבוע מה היקף ההשקעות </w:t>
      </w:r>
      <w:r w:rsidR="00E55B3A">
        <w:rPr>
          <w:rFonts w:ascii="Arial" w:hAnsi="Arial" w:hint="cs"/>
          <w:noProof w:val="0"/>
          <w:rtl/>
        </w:rPr>
        <w:t>ואיזה</w:t>
      </w:r>
      <w:r>
        <w:rPr>
          <w:rFonts w:ascii="Arial" w:hAnsi="Arial"/>
          <w:noProof w:val="0"/>
          <w:rtl/>
        </w:rPr>
        <w:t xml:space="preserve"> מהן </w:t>
      </w:r>
      <w:r w:rsidR="00E55B3A">
        <w:rPr>
          <w:rFonts w:ascii="Arial" w:hAnsi="Arial"/>
          <w:noProof w:val="0"/>
          <w:rtl/>
        </w:rPr>
        <w:lastRenderedPageBreak/>
        <w:t>יושב</w:t>
      </w:r>
      <w:r w:rsidR="00E55B3A">
        <w:rPr>
          <w:rFonts w:ascii="Arial" w:hAnsi="Arial" w:hint="cs"/>
          <w:noProof w:val="0"/>
          <w:rtl/>
        </w:rPr>
        <w:t>ו</w:t>
      </w:r>
      <w:r>
        <w:rPr>
          <w:rFonts w:ascii="Arial" w:hAnsi="Arial"/>
          <w:noProof w:val="0"/>
          <w:rtl/>
        </w:rPr>
        <w:t xml:space="preserve"> למשיב, שכן התובענה המונחת לפתחו של ביהמ"ש הינה לסעד הצהרתי ואינה תביעה כספית להשבה או תביעה לפירוק שיתוף במשק. </w:t>
      </w:r>
    </w:p>
    <w:p w:rsidR="00511F4D" w:rsidRDefault="00511F4D" w:rsidP="00511F4D">
      <w:pPr>
        <w:pStyle w:val="ad"/>
        <w:rPr>
          <w:rFonts w:ascii="Arial" w:hAnsi="Arial"/>
          <w:noProof w:val="0"/>
          <w:rtl/>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t>ביהמ"ש אינו מתכוון ואינו מוסמך ליתן סעדים כספיים במסגרת תביעה לסעד הצהרתי, שנתבעו בה סעדים כספיים</w:t>
      </w:r>
      <w:r w:rsidR="00E55B3A">
        <w:rPr>
          <w:rFonts w:ascii="Arial" w:hAnsi="Arial" w:hint="cs"/>
          <w:noProof w:val="0"/>
          <w:rtl/>
        </w:rPr>
        <w:t>,</w:t>
      </w:r>
      <w:r>
        <w:rPr>
          <w:rFonts w:ascii="Arial" w:hAnsi="Arial"/>
          <w:noProof w:val="0"/>
          <w:rtl/>
        </w:rPr>
        <w:t xml:space="preserve"> במסווה של סעדים הצהרתיים</w:t>
      </w:r>
      <w:r w:rsidR="00E55B3A">
        <w:rPr>
          <w:rFonts w:ascii="Arial" w:hAnsi="Arial" w:hint="cs"/>
          <w:noProof w:val="0"/>
          <w:rtl/>
        </w:rPr>
        <w:t>,</w:t>
      </w:r>
      <w:r>
        <w:rPr>
          <w:rFonts w:ascii="Arial" w:hAnsi="Arial"/>
          <w:noProof w:val="0"/>
          <w:rtl/>
        </w:rPr>
        <w:t xml:space="preserve"> ועל התובע להתכבד ולהגיש תובענה מתאימה, תוך תשלום אגרה כדין (ראו: רע"א 6350/14 </w:t>
      </w:r>
      <w:r>
        <w:rPr>
          <w:rFonts w:ascii="Arial" w:hAnsi="Arial"/>
          <w:b/>
          <w:bCs/>
          <w:noProof w:val="0"/>
          <w:rtl/>
        </w:rPr>
        <w:t>ורדה דסאו נ' משה ויזל</w:t>
      </w:r>
      <w:r>
        <w:rPr>
          <w:rFonts w:ascii="Arial" w:hAnsi="Arial"/>
          <w:noProof w:val="0"/>
          <w:rtl/>
        </w:rPr>
        <w:t xml:space="preserve"> (מאגרים משפטיים, 14.01.2015) בו נקבע כי "</w:t>
      </w:r>
      <w:r>
        <w:rPr>
          <w:rFonts w:ascii="Arial" w:hAnsi="Arial"/>
          <w:i/>
          <w:iCs/>
          <w:noProof w:val="0"/>
          <w:rtl/>
        </w:rPr>
        <w:t>אל לו לבימ"ש ליתן יד לעקיפתה של החובה לשלם אגרה באמצעות האצטלה של סעדים הצהרתיים שהם כספיים במהותם, ובמסגרתם אין התובע צפוי להִידרש לתביעה אופרטיבית עתידית למימוש זכותו הכספית</w:t>
      </w:r>
      <w:r>
        <w:rPr>
          <w:rFonts w:ascii="Arial" w:hAnsi="Arial"/>
          <w:noProof w:val="0"/>
          <w:rtl/>
        </w:rPr>
        <w:t>").</w:t>
      </w:r>
    </w:p>
    <w:p w:rsidR="00511F4D" w:rsidRDefault="00511F4D" w:rsidP="00511F4D">
      <w:pPr>
        <w:pStyle w:val="ad"/>
        <w:rPr>
          <w:rFonts w:ascii="Arial" w:hAnsi="Arial"/>
          <w:noProof w:val="0"/>
          <w:rtl/>
        </w:rPr>
      </w:pPr>
    </w:p>
    <w:p w:rsidR="00511F4D" w:rsidRDefault="00511F4D" w:rsidP="00511F4D">
      <w:pPr>
        <w:pStyle w:val="ad"/>
        <w:spacing w:line="360" w:lineRule="auto"/>
        <w:jc w:val="both"/>
        <w:rPr>
          <w:rFonts w:ascii="Arial" w:hAnsi="Arial"/>
          <w:noProof w:val="0"/>
        </w:rPr>
      </w:pPr>
      <w:r>
        <w:rPr>
          <w:rFonts w:ascii="Arial" w:hAnsi="Arial"/>
          <w:noProof w:val="0"/>
          <w:rtl/>
        </w:rPr>
        <w:t>בנסיבות אלה, מתייתר הצורך לדון במסקנות חוות דעת השמאי ביחס לשווי ההשקעות שבוצעו ע"י התובע. ככל שתוגש תובענה מתאימה, ביהמ"ש יידרש לכך.</w:t>
      </w:r>
    </w:p>
    <w:p w:rsidR="00511F4D" w:rsidRDefault="00511F4D" w:rsidP="00511F4D">
      <w:pPr>
        <w:pStyle w:val="ad"/>
        <w:rPr>
          <w:rFonts w:ascii="Arial" w:hAnsi="Arial"/>
          <w:noProof w:val="0"/>
          <w:rtl/>
        </w:rPr>
      </w:pPr>
    </w:p>
    <w:p w:rsidR="00511F4D" w:rsidRDefault="00511F4D" w:rsidP="00511F4D">
      <w:pPr>
        <w:pStyle w:val="ad"/>
        <w:numPr>
          <w:ilvl w:val="0"/>
          <w:numId w:val="2"/>
        </w:numPr>
        <w:spacing w:line="360" w:lineRule="auto"/>
        <w:jc w:val="both"/>
        <w:rPr>
          <w:rFonts w:ascii="Arial" w:hAnsi="Arial"/>
          <w:b/>
          <w:bCs/>
          <w:noProof w:val="0"/>
        </w:rPr>
      </w:pPr>
      <w:r>
        <w:rPr>
          <w:rFonts w:ascii="Arial" w:hAnsi="Arial"/>
          <w:b/>
          <w:bCs/>
          <w:noProof w:val="0"/>
          <w:rtl/>
        </w:rPr>
        <w:t>פסק דין הצהרתי בעניין הקרוואן</w:t>
      </w:r>
    </w:p>
    <w:p w:rsidR="00511F4D" w:rsidRPr="00BF3315" w:rsidRDefault="00935208" w:rsidP="00935208">
      <w:pPr>
        <w:pStyle w:val="ad"/>
        <w:numPr>
          <w:ilvl w:val="0"/>
          <w:numId w:val="1"/>
        </w:numPr>
        <w:spacing w:line="360" w:lineRule="auto"/>
        <w:jc w:val="both"/>
        <w:rPr>
          <w:rFonts w:ascii="Arial" w:hAnsi="Arial"/>
          <w:noProof w:val="0"/>
          <w:rtl/>
        </w:rPr>
      </w:pPr>
      <w:r w:rsidRPr="00BF3315">
        <w:rPr>
          <w:rFonts w:ascii="Arial" w:hAnsi="Arial" w:hint="cs"/>
          <w:noProof w:val="0"/>
          <w:rtl/>
        </w:rPr>
        <w:t xml:space="preserve">מצאתי לקבל </w:t>
      </w:r>
      <w:r w:rsidR="00511F4D" w:rsidRPr="00BF3315">
        <w:rPr>
          <w:rFonts w:ascii="Arial" w:hAnsi="Arial"/>
          <w:noProof w:val="0"/>
          <w:rtl/>
        </w:rPr>
        <w:t xml:space="preserve">טענת התובע כי יש ליתן בידו פסק דין הצהרתי </w:t>
      </w:r>
      <w:r w:rsidR="00BF3315" w:rsidRPr="00BF3315">
        <w:rPr>
          <w:rFonts w:ascii="Arial" w:hAnsi="Arial" w:hint="cs"/>
          <w:noProof w:val="0"/>
          <w:rtl/>
        </w:rPr>
        <w:t>ו</w:t>
      </w:r>
      <w:r w:rsidR="00511F4D" w:rsidRPr="00BF3315">
        <w:rPr>
          <w:rFonts w:ascii="Arial" w:hAnsi="Arial"/>
          <w:noProof w:val="0"/>
          <w:rtl/>
        </w:rPr>
        <w:t xml:space="preserve">לפיו הקרוואן הקיים במשק שייך לו ואינו מהווה חלק מעיזבונו של המנוח (סעיף 32ד לכתב התביעה) </w:t>
      </w:r>
      <w:r w:rsidRPr="00BF3315">
        <w:rPr>
          <w:rFonts w:ascii="Arial" w:hAnsi="Arial" w:hint="cs"/>
          <w:noProof w:val="0"/>
          <w:rtl/>
        </w:rPr>
        <w:t>ומשכך אני מורה כי הקרוואן אינו חלק מנכסי העיזבון</w:t>
      </w:r>
      <w:r w:rsidR="00511F4D" w:rsidRPr="00BF3315">
        <w:rPr>
          <w:rFonts w:ascii="Arial" w:hAnsi="Arial"/>
          <w:noProof w:val="0"/>
          <w:rtl/>
        </w:rPr>
        <w:t>.</w:t>
      </w:r>
    </w:p>
    <w:p w:rsidR="00511F4D" w:rsidRPr="00BF3315" w:rsidRDefault="00511F4D" w:rsidP="00511F4D">
      <w:pPr>
        <w:pStyle w:val="ad"/>
        <w:spacing w:line="360" w:lineRule="auto"/>
        <w:jc w:val="both"/>
        <w:rPr>
          <w:rFonts w:ascii="Arial" w:hAnsi="Arial"/>
          <w:noProof w:val="0"/>
          <w:rtl/>
        </w:rPr>
      </w:pPr>
    </w:p>
    <w:p w:rsidR="00511F4D" w:rsidRPr="00BF3315" w:rsidRDefault="00511F4D" w:rsidP="00511F4D">
      <w:pPr>
        <w:pStyle w:val="ad"/>
        <w:numPr>
          <w:ilvl w:val="0"/>
          <w:numId w:val="1"/>
        </w:numPr>
        <w:spacing w:line="360" w:lineRule="auto"/>
        <w:jc w:val="both"/>
        <w:rPr>
          <w:rFonts w:ascii="Arial" w:hAnsi="Arial"/>
          <w:noProof w:val="0"/>
        </w:rPr>
      </w:pPr>
      <w:r w:rsidRPr="00BF3315">
        <w:rPr>
          <w:rFonts w:ascii="Arial" w:hAnsi="Arial"/>
          <w:noProof w:val="0"/>
          <w:rtl/>
        </w:rPr>
        <w:t>אין מחלוקת כי זכות המגורים בקרוואן</w:t>
      </w:r>
      <w:r w:rsidR="00E55B3A">
        <w:rPr>
          <w:rFonts w:ascii="Arial" w:hAnsi="Arial" w:hint="cs"/>
          <w:noProof w:val="0"/>
          <w:rtl/>
        </w:rPr>
        <w:t xml:space="preserve"> אמנם</w:t>
      </w:r>
      <w:r w:rsidRPr="00BF3315">
        <w:rPr>
          <w:rFonts w:ascii="Arial" w:hAnsi="Arial"/>
          <w:noProof w:val="0"/>
          <w:rtl/>
        </w:rPr>
        <w:t xml:space="preserve"> ניתנה למנוח, שהעבירה לאחד מילדיו, זאת כפי שניתן ללמוד מהמסמך מחודש 1.2017 שנכתב בכתב ידו של התובע בשם המנוח והופנה למועצה האזורית באר טוביה</w:t>
      </w:r>
      <w:r w:rsidR="00E55B3A">
        <w:rPr>
          <w:rFonts w:ascii="Arial" w:hAnsi="Arial" w:hint="cs"/>
          <w:noProof w:val="0"/>
          <w:rtl/>
        </w:rPr>
        <w:t>,</w:t>
      </w:r>
      <w:r w:rsidRPr="00BF3315">
        <w:rPr>
          <w:rFonts w:ascii="Arial" w:hAnsi="Arial"/>
          <w:noProof w:val="0"/>
          <w:rtl/>
        </w:rPr>
        <w:t xml:space="preserve"> לצורך העברת החיובים על שם המנוח (ראו נספח ג' לכתב ההגנה).</w:t>
      </w:r>
    </w:p>
    <w:p w:rsidR="00935208" w:rsidRPr="00BF3315" w:rsidRDefault="00935208" w:rsidP="00935208">
      <w:pPr>
        <w:pStyle w:val="ad"/>
        <w:rPr>
          <w:rFonts w:ascii="Arial" w:hAnsi="Arial"/>
          <w:noProof w:val="0"/>
          <w:rtl/>
        </w:rPr>
      </w:pPr>
    </w:p>
    <w:p w:rsidR="00935208" w:rsidRPr="00BF3315" w:rsidRDefault="00935208" w:rsidP="00BF3315">
      <w:pPr>
        <w:pStyle w:val="ad"/>
        <w:numPr>
          <w:ilvl w:val="0"/>
          <w:numId w:val="1"/>
        </w:numPr>
        <w:spacing w:line="360" w:lineRule="auto"/>
        <w:jc w:val="both"/>
        <w:rPr>
          <w:rFonts w:ascii="Arial" w:hAnsi="Arial"/>
          <w:noProof w:val="0"/>
        </w:rPr>
      </w:pPr>
      <w:r w:rsidRPr="00BF3315">
        <w:rPr>
          <w:rFonts w:ascii="Arial" w:hAnsi="Arial" w:hint="cs"/>
          <w:noProof w:val="0"/>
          <w:rtl/>
        </w:rPr>
        <w:t xml:space="preserve">אולם, כפי שניתן ללמוד מעדויות הצדדים, הקרוואן נרכש ע"י התובע (ראו: עדותו של התובע בעמ' 52, ש' 28; </w:t>
      </w:r>
      <w:r w:rsidR="005877BC" w:rsidRPr="00BF3315">
        <w:rPr>
          <w:rFonts w:ascii="Arial" w:hAnsi="Arial" w:hint="cs"/>
          <w:noProof w:val="0"/>
          <w:rtl/>
        </w:rPr>
        <w:t>עדות הנתבע 2 בעמ' 94, ש' 16 -17; עדות הנתבע 3 בעמ' 11, ש' 28</w:t>
      </w:r>
      <w:r w:rsidRPr="00BF3315">
        <w:rPr>
          <w:rFonts w:ascii="Arial" w:hAnsi="Arial" w:hint="cs"/>
          <w:noProof w:val="0"/>
          <w:rtl/>
        </w:rPr>
        <w:t>)</w:t>
      </w:r>
      <w:r w:rsidR="005877BC" w:rsidRPr="00BF3315">
        <w:rPr>
          <w:rFonts w:ascii="Arial" w:hAnsi="Arial" w:hint="cs"/>
          <w:noProof w:val="0"/>
          <w:rtl/>
        </w:rPr>
        <w:t xml:space="preserve"> בנסיבות אלה, אף אין מחלוקת כי מדובר בנכס שנרכש ע"י התובע ומשכך אני מורה כי אינו </w:t>
      </w:r>
      <w:r w:rsidR="00BF3315" w:rsidRPr="00BF3315">
        <w:rPr>
          <w:rFonts w:ascii="Arial" w:hAnsi="Arial" w:hint="cs"/>
          <w:noProof w:val="0"/>
          <w:rtl/>
        </w:rPr>
        <w:t>חלק</w:t>
      </w:r>
      <w:r w:rsidR="005877BC" w:rsidRPr="00BF3315">
        <w:rPr>
          <w:rFonts w:ascii="Arial" w:hAnsi="Arial" w:hint="cs"/>
          <w:noProof w:val="0"/>
          <w:rtl/>
        </w:rPr>
        <w:t xml:space="preserve"> </w:t>
      </w:r>
      <w:r w:rsidR="00BF3315" w:rsidRPr="00BF3315">
        <w:rPr>
          <w:rFonts w:ascii="Arial" w:hAnsi="Arial" w:hint="cs"/>
          <w:noProof w:val="0"/>
          <w:rtl/>
        </w:rPr>
        <w:t>מנכסי העיזבון</w:t>
      </w:r>
      <w:r w:rsidR="005877BC" w:rsidRPr="00BF3315">
        <w:rPr>
          <w:rFonts w:ascii="Arial" w:hAnsi="Arial" w:hint="cs"/>
          <w:noProof w:val="0"/>
          <w:rtl/>
        </w:rPr>
        <w:t>.</w:t>
      </w:r>
    </w:p>
    <w:p w:rsidR="00511F4D" w:rsidRPr="00BF3315" w:rsidRDefault="00511F4D" w:rsidP="00BF3315">
      <w:pPr>
        <w:spacing w:line="360" w:lineRule="auto"/>
        <w:jc w:val="both"/>
        <w:rPr>
          <w:rFonts w:ascii="Arial" w:hAnsi="Arial"/>
          <w:noProof w:val="0"/>
          <w:rtl/>
        </w:rPr>
      </w:pPr>
    </w:p>
    <w:p w:rsidR="00511F4D" w:rsidRDefault="00511F4D" w:rsidP="00511F4D">
      <w:pPr>
        <w:pStyle w:val="ad"/>
        <w:numPr>
          <w:ilvl w:val="0"/>
          <w:numId w:val="2"/>
        </w:numPr>
        <w:spacing w:line="360" w:lineRule="auto"/>
        <w:jc w:val="both"/>
        <w:rPr>
          <w:rFonts w:ascii="Arial" w:hAnsi="Arial"/>
          <w:b/>
          <w:bCs/>
          <w:noProof w:val="0"/>
        </w:rPr>
      </w:pPr>
      <w:r>
        <w:rPr>
          <w:rFonts w:ascii="Arial" w:hAnsi="Arial"/>
          <w:b/>
          <w:bCs/>
          <w:noProof w:val="0"/>
          <w:rtl/>
        </w:rPr>
        <w:t>הגבלת תשלומי ההשבה לתובע</w:t>
      </w:r>
    </w:p>
    <w:p w:rsidR="00511F4D" w:rsidRDefault="00511F4D" w:rsidP="00511F4D">
      <w:pPr>
        <w:pStyle w:val="ad"/>
        <w:numPr>
          <w:ilvl w:val="0"/>
          <w:numId w:val="1"/>
        </w:numPr>
        <w:spacing w:line="360" w:lineRule="auto"/>
        <w:jc w:val="both"/>
        <w:rPr>
          <w:rFonts w:ascii="Arial" w:hAnsi="Arial"/>
          <w:noProof w:val="0"/>
          <w:rtl/>
        </w:rPr>
      </w:pPr>
      <w:r>
        <w:rPr>
          <w:rFonts w:ascii="Arial" w:hAnsi="Arial"/>
          <w:noProof w:val="0"/>
          <w:rtl/>
        </w:rPr>
        <w:t xml:space="preserve">הוראת המנוח כי באם לא יפנו התובע והנתבע 3 את דירתם בתוך 18 חודשים ממועד פטירתו, הם יהיו מנועים מלדרוש החזר בגין הוצאותיהם (סעיפים 9 ו-11 לצוואה) אינה יכולה להתקיים וזאת משהיא מנוגדת לדיני היושר, </w:t>
      </w:r>
      <w:r>
        <w:rPr>
          <w:rFonts w:ascii="Arial" w:hAnsi="Arial"/>
          <w:b/>
          <w:bCs/>
          <w:noProof w:val="0"/>
          <w:rtl/>
        </w:rPr>
        <w:t>חוק עשיית עושר ולא במשפט</w:t>
      </w:r>
      <w:r>
        <w:rPr>
          <w:rFonts w:ascii="Arial" w:hAnsi="Arial"/>
          <w:noProof w:val="0"/>
          <w:rtl/>
        </w:rPr>
        <w:t>, תשל"ט-1979 וכן לפסיקה הקובעת כי בעל רישיון זכאי להשבה בגין השקעותיו.</w:t>
      </w:r>
    </w:p>
    <w:p w:rsidR="00511F4D" w:rsidRDefault="00511F4D" w:rsidP="00511F4D">
      <w:pPr>
        <w:pStyle w:val="ad"/>
        <w:spacing w:line="360" w:lineRule="auto"/>
        <w:jc w:val="both"/>
        <w:rPr>
          <w:rFonts w:ascii="Arial" w:hAnsi="Arial"/>
          <w:noProof w:val="0"/>
        </w:rPr>
      </w:pPr>
    </w:p>
    <w:p w:rsidR="00511F4D" w:rsidRDefault="00511F4D" w:rsidP="00511F4D">
      <w:pPr>
        <w:pStyle w:val="ad"/>
        <w:numPr>
          <w:ilvl w:val="0"/>
          <w:numId w:val="1"/>
        </w:numPr>
        <w:spacing w:line="360" w:lineRule="auto"/>
        <w:jc w:val="both"/>
        <w:rPr>
          <w:rFonts w:ascii="Arial" w:hAnsi="Arial"/>
          <w:noProof w:val="0"/>
        </w:rPr>
      </w:pPr>
      <w:r>
        <w:rPr>
          <w:rFonts w:ascii="Arial" w:hAnsi="Arial"/>
          <w:noProof w:val="0"/>
          <w:rtl/>
        </w:rPr>
        <w:lastRenderedPageBreak/>
        <w:t xml:space="preserve">סבורני כי דין הוראה זו להתבטל וכך אני מורה, מכוח סמכותי הקבועה בסעיף 34 </w:t>
      </w:r>
      <w:r>
        <w:rPr>
          <w:rFonts w:ascii="Arial" w:hAnsi="Arial"/>
          <w:b/>
          <w:bCs/>
          <w:noProof w:val="0"/>
          <w:rtl/>
        </w:rPr>
        <w:t>לחוק הירושה</w:t>
      </w:r>
      <w:r>
        <w:rPr>
          <w:rFonts w:ascii="Arial" w:hAnsi="Arial"/>
          <w:noProof w:val="0"/>
          <w:rtl/>
        </w:rPr>
        <w:t>, תשכ"ה-1965 הקובע כי הוראת צוואה שביצועה בלתי חוקי, בלתי מוסרי או בלתי אפשרי – בטלה.</w:t>
      </w:r>
    </w:p>
    <w:p w:rsidR="00511F4D" w:rsidRDefault="00511F4D" w:rsidP="00511F4D">
      <w:pPr>
        <w:spacing w:line="360" w:lineRule="auto"/>
        <w:ind w:left="360"/>
        <w:jc w:val="both"/>
        <w:rPr>
          <w:rFonts w:ascii="Arial" w:hAnsi="Arial"/>
          <w:noProof w:val="0"/>
        </w:rPr>
      </w:pPr>
    </w:p>
    <w:p w:rsidR="00511F4D" w:rsidRDefault="00511F4D" w:rsidP="00511F4D">
      <w:pPr>
        <w:spacing w:line="360" w:lineRule="auto"/>
        <w:jc w:val="both"/>
        <w:rPr>
          <w:rFonts w:ascii="Arial" w:hAnsi="Arial"/>
          <w:b/>
          <w:bCs/>
          <w:noProof w:val="0"/>
          <w:u w:val="single"/>
          <w:rtl/>
        </w:rPr>
      </w:pPr>
      <w:r>
        <w:rPr>
          <w:rFonts w:ascii="Arial" w:hAnsi="Arial"/>
          <w:b/>
          <w:bCs/>
          <w:noProof w:val="0"/>
          <w:u w:val="single"/>
          <w:rtl/>
        </w:rPr>
        <w:t xml:space="preserve">התובענה לדמי שכירות ופינוי הנתבעים </w:t>
      </w:r>
    </w:p>
    <w:p w:rsidR="00511F4D" w:rsidRDefault="00511F4D" w:rsidP="00511F4D">
      <w:pPr>
        <w:numPr>
          <w:ilvl w:val="0"/>
          <w:numId w:val="1"/>
        </w:numPr>
        <w:spacing w:line="360" w:lineRule="auto"/>
        <w:jc w:val="both"/>
        <w:rPr>
          <w:rFonts w:ascii="Arial" w:hAnsi="Arial"/>
          <w:noProof w:val="0"/>
        </w:rPr>
      </w:pPr>
      <w:r>
        <w:rPr>
          <w:rFonts w:ascii="Arial" w:hAnsi="Arial"/>
          <w:noProof w:val="0"/>
          <w:rtl/>
        </w:rPr>
        <w:t>לאחר שבחנתי את טענות הצדדים ואת כל אשר לפניי ותוך שימת לב למסקנותיי דלעיל, בהליך הקשור, הגעתי לכלל מסקנה כי דין התביעה להתקבל בחלקה, כמפורט להלן.</w:t>
      </w:r>
    </w:p>
    <w:p w:rsidR="00511F4D" w:rsidRDefault="00511F4D" w:rsidP="00511F4D">
      <w:pPr>
        <w:spacing w:line="360" w:lineRule="auto"/>
        <w:ind w:left="720"/>
        <w:contextualSpacing/>
        <w:jc w:val="both"/>
        <w:rPr>
          <w:rFonts w:ascii="Arial" w:hAnsi="Arial"/>
          <w:noProof w:val="0"/>
        </w:rPr>
      </w:pPr>
    </w:p>
    <w:p w:rsidR="00511F4D" w:rsidRDefault="00511F4D" w:rsidP="00511F4D">
      <w:pPr>
        <w:numPr>
          <w:ilvl w:val="0"/>
          <w:numId w:val="1"/>
        </w:numPr>
        <w:spacing w:line="360" w:lineRule="auto"/>
        <w:jc w:val="both"/>
        <w:rPr>
          <w:rFonts w:ascii="Arial" w:hAnsi="Arial"/>
          <w:noProof w:val="0"/>
          <w:rtl/>
        </w:rPr>
      </w:pPr>
      <w:r>
        <w:rPr>
          <w:rFonts w:ascii="Arial" w:hAnsi="Arial"/>
          <w:noProof w:val="0"/>
          <w:rtl/>
        </w:rPr>
        <w:t>כפי שהבהרתי לעיל, הרי שבחינת העובדות שאינן במחלוקת, לצד הוראות הצוואה מלמדת כי לתובע ולחלק מהנתבעים ניתן ע"י המנוח רישיון מגורים במשק בתמורה.</w:t>
      </w:r>
    </w:p>
    <w:p w:rsidR="00511F4D" w:rsidRDefault="00511F4D" w:rsidP="00511F4D">
      <w:pPr>
        <w:spacing w:line="360" w:lineRule="auto"/>
        <w:jc w:val="both"/>
        <w:rPr>
          <w:rFonts w:ascii="Arial" w:hAnsi="Arial"/>
          <w:noProof w:val="0"/>
        </w:rPr>
      </w:pPr>
    </w:p>
    <w:p w:rsidR="00511F4D" w:rsidRDefault="00511F4D" w:rsidP="00DC254D">
      <w:pPr>
        <w:numPr>
          <w:ilvl w:val="0"/>
          <w:numId w:val="1"/>
        </w:numPr>
        <w:spacing w:line="360" w:lineRule="auto"/>
        <w:jc w:val="both"/>
        <w:rPr>
          <w:rFonts w:ascii="Arial" w:hAnsi="Arial"/>
          <w:noProof w:val="0"/>
        </w:rPr>
      </w:pPr>
      <w:r>
        <w:rPr>
          <w:rFonts w:ascii="Arial" w:hAnsi="Arial"/>
          <w:noProof w:val="0"/>
          <w:rtl/>
        </w:rPr>
        <w:t>רישיון בתמורה כשמו, הוא רישיון לשימוש במקרקעין הניתן בתמורה המשולמת בצורה חד פעמית או מעת לעת</w:t>
      </w:r>
      <w:r w:rsidR="00DC254D">
        <w:rPr>
          <w:rFonts w:ascii="Arial" w:hAnsi="Arial" w:hint="cs"/>
          <w:noProof w:val="0"/>
          <w:rtl/>
        </w:rPr>
        <w:t xml:space="preserve"> (ראו: פירוט לעיל)</w:t>
      </w:r>
      <w:r>
        <w:rPr>
          <w:rFonts w:ascii="Arial" w:hAnsi="Arial"/>
          <w:noProof w:val="0"/>
          <w:rtl/>
        </w:rPr>
        <w:t xml:space="preserve">. </w:t>
      </w:r>
    </w:p>
    <w:p w:rsidR="00DC254D" w:rsidRPr="00DC254D" w:rsidRDefault="00DC254D" w:rsidP="00DC254D">
      <w:pPr>
        <w:spacing w:line="360" w:lineRule="auto"/>
        <w:jc w:val="both"/>
        <w:rPr>
          <w:rFonts w:ascii="Arial" w:hAnsi="Arial"/>
          <w:noProof w:val="0"/>
        </w:rPr>
      </w:pPr>
    </w:p>
    <w:p w:rsidR="00511F4D" w:rsidRDefault="00511F4D" w:rsidP="00DC254D">
      <w:pPr>
        <w:numPr>
          <w:ilvl w:val="0"/>
          <w:numId w:val="1"/>
        </w:numPr>
        <w:spacing w:line="360" w:lineRule="auto"/>
        <w:jc w:val="both"/>
        <w:rPr>
          <w:rFonts w:ascii="Arial" w:hAnsi="Arial"/>
          <w:noProof w:val="0"/>
          <w:rtl/>
        </w:rPr>
      </w:pPr>
      <w:r>
        <w:rPr>
          <w:rFonts w:ascii="Arial" w:hAnsi="Arial"/>
          <w:noProof w:val="0"/>
          <w:rtl/>
        </w:rPr>
        <w:t>אמנם במהלך חייו לא גבה המנוח דמי שכירות מילדיו (</w:t>
      </w:r>
      <w:r w:rsidR="00DC254D">
        <w:rPr>
          <w:rFonts w:ascii="Arial" w:hAnsi="Arial" w:hint="cs"/>
          <w:noProof w:val="0"/>
          <w:rtl/>
        </w:rPr>
        <w:t>כפי שניתן ללמוד גם</w:t>
      </w:r>
      <w:r>
        <w:rPr>
          <w:rFonts w:ascii="Arial" w:hAnsi="Arial"/>
          <w:noProof w:val="0"/>
          <w:rtl/>
        </w:rPr>
        <w:t xml:space="preserve"> </w:t>
      </w:r>
      <w:r w:rsidR="00DC254D">
        <w:rPr>
          <w:rFonts w:ascii="Arial" w:hAnsi="Arial" w:hint="cs"/>
          <w:noProof w:val="0"/>
          <w:rtl/>
        </w:rPr>
        <w:t>מ</w:t>
      </w:r>
      <w:r>
        <w:rPr>
          <w:rFonts w:ascii="Arial" w:hAnsi="Arial"/>
          <w:noProof w:val="0"/>
          <w:rtl/>
        </w:rPr>
        <w:t>עדות הנתבעת 1, בעמ' 79 ו- 80), אך זאת מתוך הסכמה (בין אם נלמד עליה מהתנהגותם של הצדדים במהלך חייו של המנוח ובין אם מהוראות הצוואה) כי זכות המגורים עד לפטירתו, ניתנת להם בתמורה לתשלומים לרשויות, כמפורט לעיל.</w:t>
      </w:r>
    </w:p>
    <w:p w:rsidR="00511F4D" w:rsidRDefault="00511F4D" w:rsidP="00511F4D">
      <w:pPr>
        <w:spacing w:line="360" w:lineRule="auto"/>
        <w:ind w:left="720"/>
        <w:contextualSpacing/>
        <w:jc w:val="both"/>
        <w:rPr>
          <w:rFonts w:ascii="Arial" w:hAnsi="Arial"/>
          <w:noProof w:val="0"/>
        </w:rPr>
      </w:pPr>
    </w:p>
    <w:p w:rsidR="00511F4D" w:rsidRDefault="00511F4D" w:rsidP="00511F4D">
      <w:pPr>
        <w:numPr>
          <w:ilvl w:val="0"/>
          <w:numId w:val="1"/>
        </w:numPr>
        <w:spacing w:line="360" w:lineRule="auto"/>
        <w:jc w:val="both"/>
        <w:rPr>
          <w:rFonts w:ascii="Arial" w:hAnsi="Arial"/>
          <w:noProof w:val="0"/>
          <w:rtl/>
        </w:rPr>
      </w:pPr>
      <w:r>
        <w:rPr>
          <w:rFonts w:ascii="Arial" w:hAnsi="Arial"/>
          <w:noProof w:val="0"/>
          <w:rtl/>
        </w:rPr>
        <w:t>אם כן, בשעה שהסקתי כי מדובר ברישיון בתמורה, הרי שבהיעדר תשלום תמורה (כפי שהורה המנוח בצוואתו) פוקע הרישיון.</w:t>
      </w:r>
    </w:p>
    <w:p w:rsidR="00511F4D" w:rsidRDefault="00511F4D" w:rsidP="00511F4D">
      <w:pPr>
        <w:ind w:left="720"/>
        <w:contextualSpacing/>
        <w:rPr>
          <w:rFonts w:ascii="Arial" w:hAnsi="Arial"/>
          <w:noProof w:val="0"/>
        </w:rPr>
      </w:pPr>
    </w:p>
    <w:p w:rsidR="00511F4D" w:rsidRDefault="00511F4D" w:rsidP="00511F4D">
      <w:pPr>
        <w:numPr>
          <w:ilvl w:val="0"/>
          <w:numId w:val="1"/>
        </w:numPr>
        <w:spacing w:line="360" w:lineRule="auto"/>
        <w:jc w:val="both"/>
        <w:rPr>
          <w:rFonts w:ascii="Arial" w:hAnsi="Arial"/>
          <w:noProof w:val="0"/>
        </w:rPr>
      </w:pPr>
      <w:r>
        <w:rPr>
          <w:rFonts w:ascii="Arial" w:hAnsi="Arial"/>
          <w:noProof w:val="0"/>
          <w:rtl/>
        </w:rPr>
        <w:t>בנסיבות אלה, עם פטירתו של המנוח</w:t>
      </w:r>
      <w:r w:rsidR="000A4D35">
        <w:rPr>
          <w:rFonts w:ascii="Arial" w:hAnsi="Arial" w:hint="cs"/>
          <w:noProof w:val="0"/>
          <w:rtl/>
        </w:rPr>
        <w:t>,</w:t>
      </w:r>
      <w:r>
        <w:rPr>
          <w:rFonts w:ascii="Arial" w:hAnsi="Arial"/>
          <w:noProof w:val="0"/>
          <w:rtl/>
        </w:rPr>
        <w:t xml:space="preserve"> חלות על התובע הוראות סעיף 11 לצוואה וזאת באם יחפוץ להמשיך ולעשות שימוש ברישיון שניתן לו, ומשכך חלה עליו החובה לשלם דמי שכירות</w:t>
      </w:r>
      <w:r w:rsidR="000A4D35">
        <w:rPr>
          <w:rFonts w:ascii="Arial" w:hAnsi="Arial" w:hint="cs"/>
          <w:noProof w:val="0"/>
          <w:rtl/>
        </w:rPr>
        <w:t>, כפי שהורה המנוח</w:t>
      </w:r>
      <w:r>
        <w:rPr>
          <w:rFonts w:ascii="Arial" w:hAnsi="Arial"/>
          <w:noProof w:val="0"/>
          <w:rtl/>
        </w:rPr>
        <w:t>.</w:t>
      </w:r>
    </w:p>
    <w:p w:rsidR="00511F4D" w:rsidRPr="000A4D35" w:rsidRDefault="00511F4D" w:rsidP="00511F4D">
      <w:pPr>
        <w:spacing w:line="360" w:lineRule="auto"/>
        <w:ind w:left="360"/>
        <w:contextualSpacing/>
        <w:jc w:val="both"/>
        <w:rPr>
          <w:rFonts w:ascii="Arial" w:hAnsi="Arial"/>
          <w:noProof w:val="0"/>
        </w:rPr>
      </w:pPr>
    </w:p>
    <w:p w:rsidR="00511F4D" w:rsidRDefault="00511F4D" w:rsidP="00EB18F1">
      <w:pPr>
        <w:numPr>
          <w:ilvl w:val="0"/>
          <w:numId w:val="1"/>
        </w:numPr>
        <w:spacing w:line="360" w:lineRule="auto"/>
        <w:jc w:val="both"/>
        <w:rPr>
          <w:rFonts w:ascii="Arial" w:hAnsi="Arial"/>
          <w:noProof w:val="0"/>
        </w:rPr>
      </w:pPr>
      <w:r>
        <w:rPr>
          <w:rFonts w:ascii="Arial" w:hAnsi="Arial"/>
          <w:noProof w:val="0"/>
          <w:rtl/>
        </w:rPr>
        <w:t xml:space="preserve">אשר על כן, ככל שהתובע וגרושתו לא ישלמו דמי שכירות ו/או </w:t>
      </w:r>
      <w:r w:rsidR="00EB18F1">
        <w:rPr>
          <w:rFonts w:ascii="Arial" w:hAnsi="Arial" w:hint="cs"/>
          <w:noProof w:val="0"/>
          <w:rtl/>
        </w:rPr>
        <w:t>ככל שלא יעמדו בחיובם לשאת ב</w:t>
      </w:r>
      <w:r>
        <w:rPr>
          <w:rFonts w:ascii="Arial" w:hAnsi="Arial"/>
          <w:noProof w:val="0"/>
          <w:rtl/>
        </w:rPr>
        <w:t xml:space="preserve">הוצאות השוטפות בגין השימוש ביחידת המגורים שבה הם </w:t>
      </w:r>
      <w:r w:rsidR="00EB18F1">
        <w:rPr>
          <w:rFonts w:ascii="Arial" w:hAnsi="Arial" w:hint="cs"/>
          <w:noProof w:val="0"/>
          <w:rtl/>
        </w:rPr>
        <w:t>מתגוררים</w:t>
      </w:r>
      <w:r>
        <w:rPr>
          <w:rFonts w:ascii="Arial" w:hAnsi="Arial"/>
          <w:noProof w:val="0"/>
          <w:rtl/>
        </w:rPr>
        <w:t>, הרי שבמיוחד לנוכח הוראות סעיף 12 לצוואה, פוקע הרישיון.</w:t>
      </w:r>
    </w:p>
    <w:p w:rsidR="00511F4D" w:rsidRDefault="00511F4D" w:rsidP="00511F4D">
      <w:pPr>
        <w:spacing w:line="360" w:lineRule="auto"/>
        <w:ind w:left="720"/>
        <w:contextualSpacing/>
        <w:jc w:val="both"/>
        <w:rPr>
          <w:rFonts w:ascii="Arial" w:hAnsi="Arial"/>
          <w:noProof w:val="0"/>
          <w:rtl/>
        </w:rPr>
      </w:pPr>
    </w:p>
    <w:p w:rsidR="00511F4D" w:rsidRDefault="00511F4D" w:rsidP="00511F4D">
      <w:pPr>
        <w:numPr>
          <w:ilvl w:val="0"/>
          <w:numId w:val="1"/>
        </w:numPr>
        <w:spacing w:line="360" w:lineRule="auto"/>
        <w:jc w:val="both"/>
        <w:rPr>
          <w:rFonts w:ascii="Arial" w:hAnsi="Arial"/>
          <w:noProof w:val="0"/>
          <w:rtl/>
        </w:rPr>
      </w:pPr>
      <w:r>
        <w:rPr>
          <w:rFonts w:ascii="Arial" w:hAnsi="Arial"/>
          <w:noProof w:val="0"/>
          <w:rtl/>
        </w:rPr>
        <w:t>לנוכח האמור, על התובע וגרושתו לשאת בדמי השכירות, כפי שייקבעו להלן וככל שלא יעשו כן, יהיה עליהם לפנות את הנכס.</w:t>
      </w:r>
    </w:p>
    <w:p w:rsidR="00511F4D" w:rsidRDefault="00511F4D" w:rsidP="00511F4D">
      <w:pPr>
        <w:spacing w:line="360" w:lineRule="auto"/>
        <w:jc w:val="both"/>
        <w:rPr>
          <w:rFonts w:ascii="Arial" w:hAnsi="Arial"/>
          <w:noProof w:val="0"/>
        </w:rPr>
      </w:pPr>
    </w:p>
    <w:p w:rsidR="00511F4D" w:rsidRDefault="00511F4D" w:rsidP="00511F4D">
      <w:pPr>
        <w:numPr>
          <w:ilvl w:val="0"/>
          <w:numId w:val="1"/>
        </w:numPr>
        <w:spacing w:line="360" w:lineRule="auto"/>
        <w:jc w:val="both"/>
        <w:rPr>
          <w:rFonts w:ascii="Arial" w:hAnsi="Arial"/>
          <w:noProof w:val="0"/>
        </w:rPr>
      </w:pPr>
      <w:r>
        <w:rPr>
          <w:rFonts w:ascii="Arial" w:hAnsi="Arial"/>
          <w:noProof w:val="0"/>
          <w:rtl/>
        </w:rPr>
        <w:lastRenderedPageBreak/>
        <w:t xml:space="preserve">על אף האמור, לא מצאתי לפצל בין חיובו של התובע לחיובה של גרושתו בדמי השכירות וזאת מהנימוקים המפורטים להלן. </w:t>
      </w:r>
    </w:p>
    <w:p w:rsidR="00511F4D" w:rsidRDefault="00511F4D" w:rsidP="00511F4D">
      <w:pPr>
        <w:ind w:left="720"/>
        <w:contextualSpacing/>
        <w:rPr>
          <w:rFonts w:ascii="Arial" w:hAnsi="Arial"/>
          <w:noProof w:val="0"/>
        </w:rPr>
      </w:pPr>
    </w:p>
    <w:p w:rsidR="00511F4D" w:rsidRDefault="00511F4D" w:rsidP="00511F4D">
      <w:pPr>
        <w:numPr>
          <w:ilvl w:val="0"/>
          <w:numId w:val="1"/>
        </w:numPr>
        <w:spacing w:line="360" w:lineRule="auto"/>
        <w:jc w:val="both"/>
        <w:rPr>
          <w:rFonts w:ascii="Arial" w:hAnsi="Arial"/>
          <w:noProof w:val="0"/>
        </w:rPr>
      </w:pPr>
      <w:r>
        <w:rPr>
          <w:rFonts w:ascii="Arial" w:hAnsi="Arial"/>
          <w:noProof w:val="0"/>
          <w:rtl/>
        </w:rPr>
        <w:t>הגם שהתובע וגרושתו התגרשו באופן רשמי ואינם נשואים זל"ז, מצאתי לקבל טענת התובע וגרושתו כי הם בני זוג. ראו עדות התובע (בעמ' 58, ש' 26 לפרוטוקול מיום 17.1.2023) שלא נסתרה: "</w:t>
      </w:r>
      <w:r w:rsidR="005B7B29">
        <w:rPr>
          <w:rFonts w:asciiTheme="minorBidi" w:hAnsiTheme="minorBidi"/>
          <w:b/>
          <w:bCs/>
          <w:i/>
          <w:iCs/>
          <w:rtl/>
        </w:rPr>
        <w:t>א</w:t>
      </w:r>
      <w:r w:rsidR="005B7B29">
        <w:rPr>
          <w:rFonts w:asciiTheme="minorBidi" w:hAnsiTheme="minorBidi" w:hint="cs"/>
          <w:b/>
          <w:bCs/>
          <w:i/>
          <w:iCs/>
          <w:rtl/>
        </w:rPr>
        <w:t>.</w:t>
      </w:r>
      <w:r>
        <w:rPr>
          <w:rFonts w:ascii="David" w:hAnsi="David"/>
          <w:rtl/>
        </w:rPr>
        <w:t xml:space="preserve"> (גרושתו</w:t>
      </w:r>
      <w:r w:rsidR="005B7B29">
        <w:rPr>
          <w:rFonts w:ascii="David" w:hAnsi="David" w:hint="cs"/>
          <w:rtl/>
        </w:rPr>
        <w:t xml:space="preserve"> של התובע</w:t>
      </w:r>
      <w:r>
        <w:rPr>
          <w:rFonts w:ascii="David" w:hAnsi="David"/>
          <w:rtl/>
        </w:rPr>
        <w:t>. א.מ.)</w:t>
      </w:r>
      <w:r>
        <w:rPr>
          <w:rFonts w:ascii="David" w:hAnsi="David"/>
          <w:b/>
          <w:bCs/>
          <w:i/>
          <w:iCs/>
          <w:rtl/>
        </w:rPr>
        <w:t>, שהיא בת הזוג שלי, אני חי איתה</w:t>
      </w:r>
      <w:r>
        <w:rPr>
          <w:rFonts w:ascii="David" w:hAnsi="David"/>
          <w:b/>
          <w:bCs/>
          <w:i/>
          <w:iCs/>
          <w:noProof w:val="0"/>
          <w:rtl/>
        </w:rPr>
        <w:t>...</w:t>
      </w:r>
      <w:r>
        <w:rPr>
          <w:rFonts w:ascii="Arial" w:hAnsi="Arial"/>
          <w:noProof w:val="0"/>
          <w:rtl/>
        </w:rPr>
        <w:t>".</w:t>
      </w:r>
    </w:p>
    <w:p w:rsidR="00511F4D" w:rsidRDefault="00511F4D" w:rsidP="00511F4D">
      <w:pPr>
        <w:pStyle w:val="ad"/>
        <w:rPr>
          <w:rFonts w:ascii="Arial" w:hAnsi="Arial"/>
          <w:noProof w:val="0"/>
        </w:rPr>
      </w:pPr>
    </w:p>
    <w:p w:rsidR="00511F4D" w:rsidRDefault="00BB4C9B" w:rsidP="00511F4D">
      <w:pPr>
        <w:numPr>
          <w:ilvl w:val="0"/>
          <w:numId w:val="1"/>
        </w:numPr>
        <w:spacing w:line="360" w:lineRule="auto"/>
        <w:jc w:val="both"/>
        <w:rPr>
          <w:rFonts w:ascii="Arial" w:hAnsi="Arial"/>
          <w:noProof w:val="0"/>
          <w:rtl/>
        </w:rPr>
      </w:pPr>
      <w:r>
        <w:rPr>
          <w:rFonts w:ascii="Arial" w:hAnsi="Arial"/>
          <w:noProof w:val="0"/>
          <w:rtl/>
        </w:rPr>
        <w:t xml:space="preserve">ב"כ הנתבעים </w:t>
      </w:r>
      <w:r w:rsidR="00511F4D">
        <w:rPr>
          <w:rFonts w:ascii="Arial" w:hAnsi="Arial"/>
          <w:noProof w:val="0"/>
          <w:rtl/>
        </w:rPr>
        <w:t xml:space="preserve">ויתר על זכותו לחקור את הגב' </w:t>
      </w:r>
      <w:r w:rsidR="005B7B29">
        <w:rPr>
          <w:rFonts w:ascii="Arial" w:hAnsi="Arial"/>
          <w:noProof w:val="0"/>
          <w:rtl/>
        </w:rPr>
        <w:t>א. נ.</w:t>
      </w:r>
      <w:r w:rsidR="00511F4D">
        <w:rPr>
          <w:rFonts w:ascii="Arial" w:hAnsi="Arial"/>
          <w:noProof w:val="0"/>
          <w:rtl/>
        </w:rPr>
        <w:t xml:space="preserve"> (ראו שיח בעניין זה בעמ' 70 לפרוטוקול)</w:t>
      </w:r>
      <w:r>
        <w:rPr>
          <w:rFonts w:ascii="Arial" w:hAnsi="Arial" w:hint="cs"/>
          <w:noProof w:val="0"/>
          <w:rtl/>
        </w:rPr>
        <w:t xml:space="preserve"> ומשכך לא עלה בידי הנתבעים להפריך הטענה כי התובע </w:t>
      </w:r>
      <w:r w:rsidR="00BE05BE">
        <w:rPr>
          <w:rFonts w:ascii="Arial" w:hAnsi="Arial" w:hint="cs"/>
          <w:noProof w:val="0"/>
          <w:rtl/>
        </w:rPr>
        <w:t xml:space="preserve">וגרושתו </w:t>
      </w:r>
      <w:r>
        <w:rPr>
          <w:rFonts w:ascii="Arial" w:hAnsi="Arial" w:hint="cs"/>
          <w:noProof w:val="0"/>
          <w:rtl/>
        </w:rPr>
        <w:t>חיים כבני זוג</w:t>
      </w:r>
      <w:r w:rsidR="00511F4D">
        <w:rPr>
          <w:rFonts w:ascii="Arial" w:hAnsi="Arial"/>
          <w:noProof w:val="0"/>
          <w:rtl/>
        </w:rPr>
        <w:t>.</w:t>
      </w:r>
    </w:p>
    <w:p w:rsidR="00511F4D" w:rsidRDefault="00511F4D" w:rsidP="00511F4D">
      <w:pPr>
        <w:spacing w:line="360" w:lineRule="auto"/>
        <w:ind w:left="720"/>
        <w:contextualSpacing/>
        <w:jc w:val="both"/>
        <w:rPr>
          <w:rFonts w:ascii="Arial" w:hAnsi="Arial"/>
          <w:noProof w:val="0"/>
          <w:rtl/>
        </w:rPr>
      </w:pPr>
    </w:p>
    <w:p w:rsidR="00511F4D" w:rsidRDefault="00511F4D" w:rsidP="00511F4D">
      <w:pPr>
        <w:numPr>
          <w:ilvl w:val="0"/>
          <w:numId w:val="1"/>
        </w:numPr>
        <w:spacing w:line="360" w:lineRule="auto"/>
        <w:jc w:val="both"/>
        <w:rPr>
          <w:rFonts w:ascii="Arial" w:hAnsi="Arial"/>
          <w:noProof w:val="0"/>
        </w:rPr>
      </w:pPr>
      <w:r>
        <w:rPr>
          <w:rFonts w:ascii="Arial" w:hAnsi="Arial"/>
          <w:noProof w:val="0"/>
          <w:rtl/>
        </w:rPr>
        <w:t xml:space="preserve">בנסיבות אלה, מצאתי לקבל טענת התובע וגרושתו בעניין זה והנתבעים לא הוכיחו מציאות אחרת. ההפך הוא הנכון, גם הנתבעים עצמם הודו כי המנוח ראה בתובע וגרושתו בני זוג (על אף היותו אדם מסורתי, כטענתם בסעיף 33 לכתב הגנתם בהליך לסעד הצהרתי, כמצוטט להלן) ועל כן ביקש מהם לגור באותה יחידת מגורים על מנת לאפשר לאחת האחיות לגור בקומה העליונה, שבה מתגוררת גרושתו של התובע, הגב' </w:t>
      </w:r>
      <w:r w:rsidR="005B7B29">
        <w:rPr>
          <w:rFonts w:ascii="Arial" w:hAnsi="Arial"/>
          <w:noProof w:val="0"/>
          <w:rtl/>
        </w:rPr>
        <w:t>א. נ.</w:t>
      </w:r>
      <w:r>
        <w:rPr>
          <w:rFonts w:ascii="Arial" w:hAnsi="Arial"/>
          <w:noProof w:val="0"/>
          <w:rtl/>
        </w:rPr>
        <w:t xml:space="preserve">. </w:t>
      </w:r>
    </w:p>
    <w:p w:rsidR="00511F4D" w:rsidRDefault="00511F4D" w:rsidP="00511F4D">
      <w:pPr>
        <w:ind w:left="720"/>
        <w:contextualSpacing/>
        <w:rPr>
          <w:rFonts w:ascii="Arial" w:hAnsi="Arial"/>
          <w:noProof w:val="0"/>
        </w:rPr>
      </w:pPr>
    </w:p>
    <w:p w:rsidR="00511F4D" w:rsidRDefault="00BE05BE" w:rsidP="00511F4D">
      <w:pPr>
        <w:numPr>
          <w:ilvl w:val="0"/>
          <w:numId w:val="1"/>
        </w:numPr>
        <w:spacing w:line="360" w:lineRule="auto"/>
        <w:jc w:val="both"/>
        <w:rPr>
          <w:rFonts w:ascii="Arial" w:hAnsi="Arial"/>
          <w:noProof w:val="0"/>
          <w:rtl/>
        </w:rPr>
      </w:pPr>
      <w:r>
        <w:rPr>
          <w:rFonts w:ascii="Arial" w:hAnsi="Arial" w:hint="cs"/>
          <w:noProof w:val="0"/>
          <w:rtl/>
        </w:rPr>
        <w:t xml:space="preserve">אשר על כן, </w:t>
      </w:r>
      <w:r w:rsidR="00511F4D">
        <w:rPr>
          <w:rFonts w:ascii="Arial" w:hAnsi="Arial"/>
          <w:noProof w:val="0"/>
          <w:rtl/>
        </w:rPr>
        <w:t xml:space="preserve">על אף שהתובע וגרושתו אינם בני זוג על פי דין, הרי שלנוכח התנהגותם יש לראות בהם בני זוג לכל דבר ועניין, ומשכך לא מצאתי לפצל באופן מלאכותי את החיוב המוטל עליהם. </w:t>
      </w:r>
    </w:p>
    <w:p w:rsidR="00511F4D" w:rsidRDefault="00511F4D" w:rsidP="00511F4D">
      <w:pPr>
        <w:ind w:left="720"/>
        <w:contextualSpacing/>
        <w:rPr>
          <w:rFonts w:ascii="Arial" w:hAnsi="Arial"/>
          <w:noProof w:val="0"/>
        </w:rPr>
      </w:pPr>
    </w:p>
    <w:p w:rsidR="00511F4D" w:rsidRDefault="00511F4D" w:rsidP="00511F4D">
      <w:pPr>
        <w:numPr>
          <w:ilvl w:val="0"/>
          <w:numId w:val="1"/>
        </w:numPr>
        <w:spacing w:line="360" w:lineRule="auto"/>
        <w:jc w:val="both"/>
        <w:rPr>
          <w:rFonts w:ascii="Arial" w:hAnsi="Arial"/>
          <w:noProof w:val="0"/>
          <w:rtl/>
        </w:rPr>
      </w:pPr>
      <w:r>
        <w:rPr>
          <w:rFonts w:ascii="Arial" w:hAnsi="Arial"/>
          <w:noProof w:val="0"/>
          <w:rtl/>
        </w:rPr>
        <w:t>זאת ועוד, נהיר כי המנוח היה מודע למגוריה של הגב' אסר נגר בנכס [כך עולה במפורש מטענת הנתבעים עצמם בסעיף 33 לכתב הגנתם בתביעה לסעד הצהרתי, בו נכתב: "</w:t>
      </w:r>
      <w:r>
        <w:rPr>
          <w:rFonts w:ascii="Arial" w:hAnsi="Arial"/>
          <w:b/>
          <w:bCs/>
          <w:i/>
          <w:iCs/>
          <w:noProof w:val="0"/>
          <w:rtl/>
        </w:rPr>
        <w:t>המנוח, שהיה אדם מסורתי, ראה בעין לא יפה את הסכמת התובע</w:t>
      </w:r>
      <w:r>
        <w:rPr>
          <w:rFonts w:ascii="Arial" w:hAnsi="Arial"/>
          <w:noProof w:val="0"/>
          <w:rtl/>
        </w:rPr>
        <w:t xml:space="preserve"> </w:t>
      </w:r>
      <w:r>
        <w:rPr>
          <w:rFonts w:ascii="Arial" w:hAnsi="Arial"/>
          <w:b/>
          <w:bCs/>
          <w:i/>
          <w:iCs/>
          <w:noProof w:val="0"/>
          <w:rtl/>
        </w:rPr>
        <w:t xml:space="preserve"> לאפשר לגרושתו לגור איתו ביחידה שלו, אך אפשר לגרושה לגור בציפייה שהתובע וגרושתו יחזרו לגור יחד</w:t>
      </w:r>
      <w:r>
        <w:rPr>
          <w:rFonts w:ascii="Arial" w:hAnsi="Arial"/>
          <w:noProof w:val="0"/>
          <w:rtl/>
        </w:rPr>
        <w:t>"] ולא ראה לנכון להורות על פינויה ו/או ליתן הוראות אחרות ביחס אליה בצוואתו, לרבות בעניין חיובה בדמי שכירות (וזאת הגם שעשה כן ביחס לילדיו).</w:t>
      </w:r>
    </w:p>
    <w:p w:rsidR="00511F4D" w:rsidRDefault="00511F4D" w:rsidP="00511F4D">
      <w:pPr>
        <w:ind w:left="720"/>
        <w:contextualSpacing/>
        <w:rPr>
          <w:rFonts w:ascii="Arial" w:hAnsi="Arial"/>
          <w:noProof w:val="0"/>
        </w:rPr>
      </w:pPr>
    </w:p>
    <w:p w:rsidR="00511F4D" w:rsidRDefault="00511F4D" w:rsidP="00511F4D">
      <w:pPr>
        <w:numPr>
          <w:ilvl w:val="0"/>
          <w:numId w:val="1"/>
        </w:numPr>
        <w:spacing w:line="360" w:lineRule="auto"/>
        <w:jc w:val="both"/>
        <w:rPr>
          <w:rFonts w:ascii="Arial" w:hAnsi="Arial"/>
          <w:noProof w:val="0"/>
          <w:rtl/>
        </w:rPr>
      </w:pPr>
      <w:r>
        <w:rPr>
          <w:rFonts w:ascii="Arial" w:hAnsi="Arial"/>
          <w:noProof w:val="0"/>
          <w:rtl/>
        </w:rPr>
        <w:t xml:space="preserve">המנוח אף לא הגביל את היכולת של מי מילדיו לשכן צדדי ג' ביחידת המגורים שניתנה להם זכות המגורים בה ומשכך גם אם הייתי מקבל טענת הנתבעים כי הגב' </w:t>
      </w:r>
      <w:r w:rsidR="005B7B29">
        <w:rPr>
          <w:rFonts w:ascii="Arial" w:hAnsi="Arial"/>
          <w:noProof w:val="0"/>
          <w:rtl/>
        </w:rPr>
        <w:t>א. נ.</w:t>
      </w:r>
      <w:r>
        <w:rPr>
          <w:rFonts w:ascii="Arial" w:hAnsi="Arial"/>
          <w:noProof w:val="0"/>
          <w:rtl/>
        </w:rPr>
        <w:t xml:space="preserve"> אינה בת זוגו של התובע, לא </w:t>
      </w:r>
      <w:r w:rsidR="00BE05BE">
        <w:rPr>
          <w:rFonts w:ascii="Arial" w:hAnsi="Arial" w:hint="cs"/>
          <w:noProof w:val="0"/>
          <w:rtl/>
        </w:rPr>
        <w:t xml:space="preserve">מצאתי כי </w:t>
      </w:r>
      <w:r>
        <w:rPr>
          <w:rFonts w:ascii="Arial" w:hAnsi="Arial"/>
          <w:noProof w:val="0"/>
          <w:rtl/>
        </w:rPr>
        <w:t>קיימת עילה לפינויה</w:t>
      </w:r>
      <w:r w:rsidR="00BE05BE">
        <w:rPr>
          <w:rFonts w:ascii="Arial" w:hAnsi="Arial" w:hint="cs"/>
          <w:noProof w:val="0"/>
          <w:rtl/>
        </w:rPr>
        <w:t xml:space="preserve"> מהנכס</w:t>
      </w:r>
      <w:r>
        <w:rPr>
          <w:rFonts w:ascii="Arial" w:hAnsi="Arial"/>
          <w:noProof w:val="0"/>
          <w:rtl/>
        </w:rPr>
        <w:t>.</w:t>
      </w:r>
    </w:p>
    <w:p w:rsidR="00511F4D" w:rsidRDefault="00511F4D" w:rsidP="00511F4D">
      <w:pPr>
        <w:ind w:left="720"/>
        <w:contextualSpacing/>
        <w:rPr>
          <w:rFonts w:ascii="Arial" w:hAnsi="Arial"/>
          <w:noProof w:val="0"/>
        </w:rPr>
      </w:pPr>
    </w:p>
    <w:p w:rsidR="00511F4D" w:rsidRDefault="00511F4D" w:rsidP="00511F4D">
      <w:pPr>
        <w:numPr>
          <w:ilvl w:val="0"/>
          <w:numId w:val="1"/>
        </w:numPr>
        <w:spacing w:line="360" w:lineRule="auto"/>
        <w:jc w:val="both"/>
        <w:rPr>
          <w:rFonts w:ascii="Arial" w:hAnsi="Arial"/>
          <w:noProof w:val="0"/>
          <w:rtl/>
        </w:rPr>
      </w:pPr>
      <w:r>
        <w:rPr>
          <w:rFonts w:ascii="Arial" w:hAnsi="Arial"/>
          <w:noProof w:val="0"/>
          <w:rtl/>
        </w:rPr>
        <w:t>באותה מידה שלא ניתן להגביל מגורים של בני/בנות זוג של הנתבעים, כך לא ניתן להגביל מגוריה של גרושתו של התובע ודומה כי תובענה זו באה לעולם כחלק מהמאבק המשפטי המתנהל בין הצדדים ואגב העכירות במערכת היחסים של הצדדים.</w:t>
      </w:r>
    </w:p>
    <w:p w:rsidR="00511F4D" w:rsidRDefault="00511F4D" w:rsidP="00511F4D">
      <w:pPr>
        <w:ind w:left="720"/>
        <w:contextualSpacing/>
        <w:rPr>
          <w:rFonts w:ascii="Arial" w:hAnsi="Arial"/>
          <w:noProof w:val="0"/>
        </w:rPr>
      </w:pPr>
    </w:p>
    <w:p w:rsidR="00511F4D" w:rsidRDefault="00511F4D" w:rsidP="00511F4D">
      <w:pPr>
        <w:numPr>
          <w:ilvl w:val="0"/>
          <w:numId w:val="1"/>
        </w:numPr>
        <w:spacing w:line="360" w:lineRule="auto"/>
        <w:jc w:val="both"/>
        <w:rPr>
          <w:rFonts w:ascii="Arial" w:hAnsi="Arial"/>
          <w:noProof w:val="0"/>
          <w:rtl/>
        </w:rPr>
      </w:pPr>
      <w:r>
        <w:rPr>
          <w:rFonts w:ascii="Arial" w:hAnsi="Arial"/>
          <w:noProof w:val="0"/>
          <w:rtl/>
        </w:rPr>
        <w:lastRenderedPageBreak/>
        <w:t xml:space="preserve">העובדה כי התובענה לדמי שכירות ולפינוי הוגשה זמן רב לאחר שהוגשה התובענה לסעד הצהרתי (כשנה לאחריה) ולא קודם לכן, מלמדת אף היא כי מלכתחילה לא סברו הנתבעים כי הם זכאים לקבל דמי שכירות מהגב' </w:t>
      </w:r>
      <w:r w:rsidR="005B7B29">
        <w:rPr>
          <w:rFonts w:ascii="Arial" w:hAnsi="Arial"/>
          <w:noProof w:val="0"/>
          <w:rtl/>
        </w:rPr>
        <w:t>א. נ.</w:t>
      </w:r>
      <w:r>
        <w:rPr>
          <w:rFonts w:ascii="Arial" w:hAnsi="Arial"/>
          <w:noProof w:val="0"/>
          <w:rtl/>
        </w:rPr>
        <w:t xml:space="preserve"> ובטח שלא להורות על פינויה.</w:t>
      </w:r>
    </w:p>
    <w:p w:rsidR="00511F4D" w:rsidRDefault="00511F4D" w:rsidP="00511F4D">
      <w:pPr>
        <w:ind w:left="720"/>
        <w:contextualSpacing/>
        <w:rPr>
          <w:rFonts w:ascii="Arial" w:hAnsi="Arial"/>
          <w:noProof w:val="0"/>
        </w:rPr>
      </w:pPr>
    </w:p>
    <w:p w:rsidR="00511F4D" w:rsidRDefault="00BE05BE" w:rsidP="00BE05BE">
      <w:pPr>
        <w:numPr>
          <w:ilvl w:val="0"/>
          <w:numId w:val="1"/>
        </w:numPr>
        <w:spacing w:line="360" w:lineRule="auto"/>
        <w:jc w:val="both"/>
        <w:rPr>
          <w:rFonts w:ascii="Arial" w:hAnsi="Arial"/>
          <w:noProof w:val="0"/>
          <w:rtl/>
        </w:rPr>
      </w:pPr>
      <w:r>
        <w:rPr>
          <w:rFonts w:ascii="Arial" w:hAnsi="Arial" w:hint="cs"/>
          <w:noProof w:val="0"/>
          <w:rtl/>
        </w:rPr>
        <w:t>סבורני</w:t>
      </w:r>
      <w:r w:rsidR="00511F4D">
        <w:rPr>
          <w:rFonts w:ascii="Arial" w:hAnsi="Arial"/>
          <w:noProof w:val="0"/>
          <w:rtl/>
        </w:rPr>
        <w:t xml:space="preserve"> אם כן</w:t>
      </w:r>
      <w:r>
        <w:rPr>
          <w:rFonts w:ascii="Arial" w:hAnsi="Arial" w:hint="cs"/>
          <w:noProof w:val="0"/>
          <w:rtl/>
        </w:rPr>
        <w:t>,</w:t>
      </w:r>
      <w:r w:rsidR="00511F4D">
        <w:rPr>
          <w:rFonts w:ascii="Arial" w:hAnsi="Arial"/>
          <w:noProof w:val="0"/>
          <w:rtl/>
        </w:rPr>
        <w:t xml:space="preserve"> כי המנ</w:t>
      </w:r>
      <w:r>
        <w:rPr>
          <w:rFonts w:ascii="Arial" w:hAnsi="Arial"/>
          <w:noProof w:val="0"/>
          <w:rtl/>
        </w:rPr>
        <w:t xml:space="preserve">וח ראה </w:t>
      </w:r>
      <w:r>
        <w:rPr>
          <w:rFonts w:ascii="Arial" w:hAnsi="Arial" w:hint="cs"/>
          <w:noProof w:val="0"/>
          <w:rtl/>
        </w:rPr>
        <w:t>ב</w:t>
      </w:r>
      <w:r w:rsidR="00511F4D">
        <w:rPr>
          <w:rFonts w:ascii="Arial" w:hAnsi="Arial"/>
          <w:noProof w:val="0"/>
          <w:rtl/>
        </w:rPr>
        <w:t>מגוריה של גרושתו של התובע ככאלה הנובעים מזכותו של התובע עצמו וכך גם סברו כל העת כולם.</w:t>
      </w:r>
    </w:p>
    <w:p w:rsidR="00511F4D" w:rsidRDefault="00511F4D" w:rsidP="00511F4D">
      <w:pPr>
        <w:ind w:left="720"/>
        <w:contextualSpacing/>
        <w:rPr>
          <w:rFonts w:ascii="Arial" w:hAnsi="Arial"/>
          <w:noProof w:val="0"/>
        </w:rPr>
      </w:pPr>
    </w:p>
    <w:p w:rsidR="00511F4D" w:rsidRDefault="00EC7350" w:rsidP="00EC7350">
      <w:pPr>
        <w:numPr>
          <w:ilvl w:val="0"/>
          <w:numId w:val="1"/>
        </w:numPr>
        <w:spacing w:line="360" w:lineRule="auto"/>
        <w:jc w:val="both"/>
        <w:rPr>
          <w:rFonts w:ascii="Arial" w:hAnsi="Arial"/>
          <w:noProof w:val="0"/>
          <w:rtl/>
        </w:rPr>
      </w:pPr>
      <w:r>
        <w:rPr>
          <w:rFonts w:ascii="Arial" w:hAnsi="Arial" w:hint="cs"/>
          <w:noProof w:val="0"/>
          <w:rtl/>
        </w:rPr>
        <w:t>סבורני</w:t>
      </w:r>
      <w:r w:rsidR="00511F4D">
        <w:rPr>
          <w:rFonts w:ascii="Arial" w:hAnsi="Arial"/>
          <w:noProof w:val="0"/>
          <w:rtl/>
        </w:rPr>
        <w:t xml:space="preserve"> </w:t>
      </w:r>
      <w:r>
        <w:rPr>
          <w:rFonts w:ascii="Arial" w:hAnsi="Arial" w:hint="cs"/>
          <w:noProof w:val="0"/>
          <w:rtl/>
        </w:rPr>
        <w:t>גם שא</w:t>
      </w:r>
      <w:r>
        <w:rPr>
          <w:rFonts w:ascii="Arial" w:hAnsi="Arial"/>
          <w:noProof w:val="0"/>
          <w:rtl/>
        </w:rPr>
        <w:t>ופיו של רישיון בתמורה</w:t>
      </w:r>
      <w:r w:rsidR="00511F4D">
        <w:rPr>
          <w:rFonts w:ascii="Arial" w:hAnsi="Arial"/>
          <w:noProof w:val="0"/>
          <w:rtl/>
        </w:rPr>
        <w:t xml:space="preserve"> דומה בעיקרו לזכות השכירות ומשכך מצאתי להסיק </w:t>
      </w:r>
      <w:r>
        <w:rPr>
          <w:rFonts w:ascii="Arial" w:hAnsi="Arial" w:hint="cs"/>
          <w:noProof w:val="0"/>
          <w:rtl/>
        </w:rPr>
        <w:t xml:space="preserve">לענייננו </w:t>
      </w:r>
      <w:r w:rsidR="00511F4D">
        <w:rPr>
          <w:rFonts w:ascii="Arial" w:hAnsi="Arial"/>
          <w:noProof w:val="0"/>
          <w:rtl/>
        </w:rPr>
        <w:t xml:space="preserve">גם מהוראות </w:t>
      </w:r>
      <w:r w:rsidR="00511F4D">
        <w:rPr>
          <w:rFonts w:ascii="Arial" w:hAnsi="Arial"/>
          <w:b/>
          <w:bCs/>
          <w:noProof w:val="0"/>
          <w:rtl/>
        </w:rPr>
        <w:t>חוק השכירות והשאילה</w:t>
      </w:r>
      <w:r>
        <w:rPr>
          <w:rFonts w:ascii="Arial" w:hAnsi="Arial"/>
          <w:noProof w:val="0"/>
          <w:rtl/>
        </w:rPr>
        <w:t>, תשל"א-1971</w:t>
      </w:r>
      <w:r>
        <w:rPr>
          <w:rFonts w:ascii="Arial" w:hAnsi="Arial" w:hint="cs"/>
          <w:noProof w:val="0"/>
          <w:rtl/>
        </w:rPr>
        <w:t>,</w:t>
      </w:r>
      <w:r w:rsidR="00511F4D">
        <w:rPr>
          <w:rFonts w:ascii="Arial" w:hAnsi="Arial"/>
          <w:noProof w:val="0"/>
          <w:rtl/>
        </w:rPr>
        <w:t xml:space="preserve"> הקובע כי על שוכר להשתמש במושכר לפי המוסכם, וככל ששימוש מסוים לא הותנה כשימוש ייחודי, הוא רשאי להשתמש במושכר שימוש אחר, ובלבד שלא יהיה בו משום פגיעה במושכר, או הכבדה על המשכיר יותר מאשר לפי המוסכם. אבהיר כי לא מצאת</w:t>
      </w:r>
      <w:r>
        <w:rPr>
          <w:rFonts w:ascii="Arial" w:hAnsi="Arial"/>
          <w:noProof w:val="0"/>
          <w:rtl/>
        </w:rPr>
        <w:t xml:space="preserve">י שמגוריה של הגב' </w:t>
      </w:r>
      <w:r w:rsidR="005B7B29">
        <w:rPr>
          <w:rFonts w:ascii="Arial" w:hAnsi="Arial"/>
          <w:noProof w:val="0"/>
          <w:rtl/>
        </w:rPr>
        <w:t>א. נ.</w:t>
      </w:r>
      <w:r>
        <w:rPr>
          <w:rFonts w:ascii="Arial" w:hAnsi="Arial"/>
          <w:noProof w:val="0"/>
          <w:rtl/>
        </w:rPr>
        <w:t xml:space="preserve"> פוגע</w:t>
      </w:r>
      <w:r>
        <w:rPr>
          <w:rFonts w:ascii="Arial" w:hAnsi="Arial" w:hint="cs"/>
          <w:noProof w:val="0"/>
          <w:rtl/>
        </w:rPr>
        <w:t>ים</w:t>
      </w:r>
      <w:r>
        <w:rPr>
          <w:rFonts w:ascii="Arial" w:hAnsi="Arial"/>
          <w:noProof w:val="0"/>
          <w:rtl/>
        </w:rPr>
        <w:t xml:space="preserve"> בנכס או מכביד</w:t>
      </w:r>
      <w:r>
        <w:rPr>
          <w:rFonts w:ascii="Arial" w:hAnsi="Arial" w:hint="cs"/>
          <w:noProof w:val="0"/>
          <w:rtl/>
        </w:rPr>
        <w:t>ים</w:t>
      </w:r>
      <w:r w:rsidR="00511F4D">
        <w:rPr>
          <w:rFonts w:ascii="Arial" w:hAnsi="Arial"/>
          <w:noProof w:val="0"/>
          <w:rtl/>
        </w:rPr>
        <w:t xml:space="preserve"> על הנתבעים, ואף לא נטען שכך נעשה.</w:t>
      </w:r>
    </w:p>
    <w:p w:rsidR="00511F4D" w:rsidRDefault="00511F4D" w:rsidP="00511F4D">
      <w:pPr>
        <w:ind w:left="720"/>
        <w:contextualSpacing/>
        <w:rPr>
          <w:rFonts w:ascii="Arial" w:hAnsi="Arial"/>
          <w:noProof w:val="0"/>
        </w:rPr>
      </w:pPr>
    </w:p>
    <w:p w:rsidR="00511F4D" w:rsidRDefault="00511F4D" w:rsidP="00EC7350">
      <w:pPr>
        <w:numPr>
          <w:ilvl w:val="0"/>
          <w:numId w:val="1"/>
        </w:numPr>
        <w:spacing w:line="360" w:lineRule="auto"/>
        <w:jc w:val="both"/>
        <w:rPr>
          <w:rFonts w:ascii="Arial" w:hAnsi="Arial"/>
          <w:noProof w:val="0"/>
          <w:rtl/>
        </w:rPr>
      </w:pPr>
      <w:r>
        <w:rPr>
          <w:rFonts w:ascii="Arial" w:hAnsi="Arial"/>
          <w:noProof w:val="0"/>
          <w:rtl/>
        </w:rPr>
        <w:t xml:space="preserve">מעבר לאמור, בשעה שזכות ההחזקה בנכס ניתנה לתובע, הוא זכאי לדרוש פינויו של מי שאין לו זכות לעשות בו שימוש, זאת בהתאם להוראות סעיף 17 </w:t>
      </w:r>
      <w:r>
        <w:rPr>
          <w:rFonts w:ascii="Arial" w:hAnsi="Arial"/>
          <w:b/>
          <w:bCs/>
          <w:noProof w:val="0"/>
          <w:rtl/>
        </w:rPr>
        <w:t>לחוק המקרקעין</w:t>
      </w:r>
      <w:r>
        <w:rPr>
          <w:rFonts w:ascii="Arial" w:hAnsi="Arial"/>
          <w:noProof w:val="0"/>
          <w:rtl/>
        </w:rPr>
        <w:t xml:space="preserve">, תשכ"ט-1969. בשעה שרישיון </w:t>
      </w:r>
      <w:r w:rsidR="00EC7350">
        <w:rPr>
          <w:rFonts w:ascii="Arial" w:hAnsi="Arial" w:hint="cs"/>
          <w:noProof w:val="0"/>
          <w:rtl/>
        </w:rPr>
        <w:t>ה</w:t>
      </w:r>
      <w:r>
        <w:rPr>
          <w:rFonts w:ascii="Arial" w:hAnsi="Arial"/>
          <w:noProof w:val="0"/>
          <w:rtl/>
        </w:rPr>
        <w:t>שימוש ביחידת המגורים הרלוונטית</w:t>
      </w:r>
      <w:r w:rsidR="00EC7350">
        <w:rPr>
          <w:rFonts w:ascii="Arial" w:hAnsi="Arial" w:hint="cs"/>
          <w:noProof w:val="0"/>
          <w:rtl/>
        </w:rPr>
        <w:t xml:space="preserve"> </w:t>
      </w:r>
      <w:r w:rsidR="00EC7350">
        <w:rPr>
          <w:rFonts w:ascii="Arial" w:hAnsi="Arial"/>
          <w:noProof w:val="0"/>
          <w:rtl/>
        </w:rPr>
        <w:t>ניתן לתובע</w:t>
      </w:r>
      <w:r>
        <w:rPr>
          <w:rFonts w:ascii="Arial" w:hAnsi="Arial"/>
          <w:noProof w:val="0"/>
          <w:rtl/>
        </w:rPr>
        <w:t>, זכות זו</w:t>
      </w:r>
      <w:r w:rsidR="00EC7350">
        <w:rPr>
          <w:rFonts w:ascii="Arial" w:hAnsi="Arial" w:hint="cs"/>
          <w:noProof w:val="0"/>
          <w:rtl/>
        </w:rPr>
        <w:t xml:space="preserve"> מצויה בידיו ולא </w:t>
      </w:r>
      <w:r>
        <w:rPr>
          <w:rFonts w:ascii="Arial" w:hAnsi="Arial"/>
          <w:noProof w:val="0"/>
          <w:rtl/>
        </w:rPr>
        <w:t>בידי הנתבעים.</w:t>
      </w:r>
    </w:p>
    <w:p w:rsidR="00511F4D" w:rsidRDefault="00511F4D" w:rsidP="00511F4D">
      <w:pPr>
        <w:ind w:left="720"/>
        <w:contextualSpacing/>
        <w:rPr>
          <w:rFonts w:ascii="Arial" w:hAnsi="Arial"/>
          <w:noProof w:val="0"/>
        </w:rPr>
      </w:pPr>
    </w:p>
    <w:p w:rsidR="00511F4D" w:rsidRDefault="00511F4D" w:rsidP="00511F4D">
      <w:pPr>
        <w:numPr>
          <w:ilvl w:val="0"/>
          <w:numId w:val="1"/>
        </w:numPr>
        <w:spacing w:line="360" w:lineRule="auto"/>
        <w:jc w:val="both"/>
        <w:rPr>
          <w:rFonts w:ascii="Arial" w:hAnsi="Arial"/>
          <w:noProof w:val="0"/>
          <w:rtl/>
        </w:rPr>
      </w:pPr>
      <w:r>
        <w:rPr>
          <w:rFonts w:ascii="Arial" w:hAnsi="Arial"/>
          <w:noProof w:val="0"/>
          <w:rtl/>
        </w:rPr>
        <w:t xml:space="preserve">בנסיבות אלה, לנוכח כל המפורט לעיל, לא מצאתי כל הצדקה לערוך פיצול מלאכותי בין קומות המבנה שנבנה על ידי התובע, כפי שמבקשים הנתבעים לעשות. זכויות המגורים וההחזקה בבית כולו ניתנו לתובע ואין </w:t>
      </w:r>
      <w:r w:rsidR="00EC7350">
        <w:rPr>
          <w:rFonts w:ascii="Arial" w:hAnsi="Arial"/>
          <w:noProof w:val="0"/>
          <w:rtl/>
        </w:rPr>
        <w:t>זה מעניינם של הנתבעים מי גר ע</w:t>
      </w:r>
      <w:r w:rsidR="00EC7350">
        <w:rPr>
          <w:rFonts w:ascii="Arial" w:hAnsi="Arial" w:hint="cs"/>
          <w:noProof w:val="0"/>
          <w:rtl/>
        </w:rPr>
        <w:t xml:space="preserve">ם התובע </w:t>
      </w:r>
      <w:r>
        <w:rPr>
          <w:rFonts w:ascii="Arial" w:hAnsi="Arial"/>
          <w:noProof w:val="0"/>
          <w:rtl/>
        </w:rPr>
        <w:t>ומה מספר האנשים שעושים שימוש ברשות שניתנה לו, כל עוד הדבר אינו פוגע בנכס או מפריע להם לעשות שימוש ביתר שטח</w:t>
      </w:r>
      <w:r w:rsidR="00EC7350">
        <w:rPr>
          <w:rFonts w:ascii="Arial" w:hAnsi="Arial" w:hint="cs"/>
          <w:noProof w:val="0"/>
          <w:rtl/>
        </w:rPr>
        <w:t>י</w:t>
      </w:r>
      <w:r>
        <w:rPr>
          <w:rFonts w:ascii="Arial" w:hAnsi="Arial"/>
          <w:noProof w:val="0"/>
          <w:rtl/>
        </w:rPr>
        <w:t xml:space="preserve"> המשק.</w:t>
      </w:r>
    </w:p>
    <w:p w:rsidR="00511F4D" w:rsidRDefault="00511F4D" w:rsidP="00511F4D">
      <w:pPr>
        <w:ind w:left="720"/>
        <w:contextualSpacing/>
        <w:rPr>
          <w:rFonts w:ascii="Arial" w:hAnsi="Arial"/>
          <w:noProof w:val="0"/>
        </w:rPr>
      </w:pPr>
    </w:p>
    <w:p w:rsidR="00511F4D" w:rsidRDefault="00511F4D" w:rsidP="00511F4D">
      <w:pPr>
        <w:numPr>
          <w:ilvl w:val="0"/>
          <w:numId w:val="1"/>
        </w:numPr>
        <w:spacing w:line="360" w:lineRule="auto"/>
        <w:jc w:val="both"/>
        <w:rPr>
          <w:rFonts w:ascii="Arial" w:hAnsi="Arial"/>
          <w:noProof w:val="0"/>
          <w:rtl/>
        </w:rPr>
      </w:pPr>
      <w:r>
        <w:rPr>
          <w:rFonts w:ascii="Arial" w:hAnsi="Arial"/>
          <w:noProof w:val="0"/>
          <w:rtl/>
        </w:rPr>
        <w:t>יובהר כי בשעה שהתובע קיבל זכות מגורים ושימוש בנכס, הוא רשאי להתיר גם לבני משפחתו ואפילו לגרושתו (אף אם לא חי עמה בזוגיות כמקובל ועל פי דין) להתגורר עמו ביחידת המגורים שהוקצתה לו.</w:t>
      </w:r>
    </w:p>
    <w:p w:rsidR="00511F4D" w:rsidRDefault="00511F4D" w:rsidP="00511F4D">
      <w:pPr>
        <w:ind w:left="720"/>
        <w:contextualSpacing/>
        <w:rPr>
          <w:rFonts w:ascii="Arial" w:hAnsi="Arial"/>
          <w:noProof w:val="0"/>
        </w:rPr>
      </w:pPr>
    </w:p>
    <w:p w:rsidR="00511F4D" w:rsidRDefault="00511F4D" w:rsidP="00511F4D">
      <w:pPr>
        <w:numPr>
          <w:ilvl w:val="0"/>
          <w:numId w:val="1"/>
        </w:numPr>
        <w:spacing w:line="360" w:lineRule="auto"/>
        <w:ind w:left="850" w:hanging="490"/>
        <w:contextualSpacing/>
        <w:jc w:val="both"/>
        <w:rPr>
          <w:rFonts w:ascii="Arial" w:hAnsi="Arial"/>
          <w:noProof w:val="0"/>
        </w:rPr>
      </w:pPr>
      <w:r>
        <w:rPr>
          <w:rFonts w:ascii="Arial" w:hAnsi="Arial"/>
          <w:noProof w:val="0"/>
          <w:rtl/>
        </w:rPr>
        <w:t>ביחס לתקופת החיוב וגם מטעמים של צדק והגינות, מצאתי, כי אין להורות על חיובם של התובע וגרושתו בדמי שכירות החל ממועד פטירת המנוח ועל כן אני מורה על צמצום החיוב כך שיחול ממועד הגשת התביעה ואילך, זאת בשעה שמדובר בתביעה לדמי שימוש ראויים (בהתאם לסעיף 33 לחוק המקרקעין) ובשעה שעד למועד זה</w:t>
      </w:r>
      <w:r w:rsidR="00414AA2">
        <w:rPr>
          <w:rFonts w:ascii="Arial" w:hAnsi="Arial" w:hint="cs"/>
          <w:noProof w:val="0"/>
          <w:rtl/>
        </w:rPr>
        <w:t>,</w:t>
      </w:r>
      <w:r>
        <w:rPr>
          <w:rFonts w:ascii="Arial" w:hAnsi="Arial"/>
          <w:noProof w:val="0"/>
          <w:rtl/>
        </w:rPr>
        <w:t xml:space="preserve"> גילו הנתבעים דעתם בשתיקה כי הם מוותרים על זכות זו.</w:t>
      </w:r>
    </w:p>
    <w:p w:rsidR="00511F4D" w:rsidRDefault="00511F4D" w:rsidP="00511F4D">
      <w:pPr>
        <w:pStyle w:val="ad"/>
        <w:rPr>
          <w:rFonts w:ascii="Arial" w:hAnsi="Arial"/>
          <w:noProof w:val="0"/>
        </w:rPr>
      </w:pPr>
    </w:p>
    <w:p w:rsidR="00511F4D" w:rsidRPr="00BC6DA9" w:rsidRDefault="00511F4D" w:rsidP="00511F4D">
      <w:pPr>
        <w:numPr>
          <w:ilvl w:val="0"/>
          <w:numId w:val="1"/>
        </w:numPr>
        <w:spacing w:line="360" w:lineRule="auto"/>
        <w:ind w:left="850" w:hanging="490"/>
        <w:contextualSpacing/>
        <w:jc w:val="both"/>
        <w:rPr>
          <w:rFonts w:ascii="Arial" w:hAnsi="Arial"/>
          <w:noProof w:val="0"/>
          <w:rtl/>
        </w:rPr>
      </w:pPr>
      <w:r>
        <w:rPr>
          <w:rFonts w:ascii="Arial" w:hAnsi="Arial"/>
          <w:noProof w:val="0"/>
          <w:rtl/>
        </w:rPr>
        <w:lastRenderedPageBreak/>
        <w:t xml:space="preserve">אשר על כן, אני קובע כי על התובע וגרושתו, ביחד ולחוד, לשאת בתשלום דמי שכירות (בסכומים שיפורטו להלן) עבור מגוריהם בנכס מושא ההליך, זאת החל מסמוך למועד הגשת התובענה ועד למועד פינויים בפועל, או עד </w:t>
      </w:r>
      <w:r w:rsidRPr="00BC6DA9">
        <w:rPr>
          <w:rFonts w:ascii="Arial" w:hAnsi="Arial"/>
          <w:noProof w:val="0"/>
          <w:rtl/>
        </w:rPr>
        <w:t>למועד פירוק השיתוף במשק.</w:t>
      </w:r>
    </w:p>
    <w:p w:rsidR="00511F4D" w:rsidRDefault="00511F4D" w:rsidP="00511F4D">
      <w:pPr>
        <w:pStyle w:val="ad"/>
        <w:rPr>
          <w:rFonts w:ascii="Arial" w:hAnsi="Arial"/>
          <w:noProof w:val="0"/>
        </w:rPr>
      </w:pPr>
    </w:p>
    <w:p w:rsidR="00511F4D" w:rsidRDefault="00511F4D" w:rsidP="00511F4D">
      <w:pPr>
        <w:numPr>
          <w:ilvl w:val="0"/>
          <w:numId w:val="1"/>
        </w:numPr>
        <w:spacing w:line="360" w:lineRule="auto"/>
        <w:ind w:left="850" w:hanging="490"/>
        <w:contextualSpacing/>
        <w:jc w:val="both"/>
        <w:rPr>
          <w:rFonts w:ascii="Arial" w:hAnsi="Arial"/>
          <w:noProof w:val="0"/>
          <w:rtl/>
        </w:rPr>
      </w:pPr>
      <w:r>
        <w:rPr>
          <w:rFonts w:ascii="Arial" w:hAnsi="Arial"/>
          <w:noProof w:val="0"/>
          <w:rtl/>
        </w:rPr>
        <w:t>לא מצאתי רלוונטיות לעובדת היות הנכס מפוצל לשתי יחידות (כפי שביקשו התובעים לעשות בסיכומיהם) בשעה שהשמאי העריך את שווי דמי השכירות הכוללים ביחס ליחידת המגורים בכללותה ולא מצאתי לפצל בין חיובי התובע וגרושתו, כאמור לעיל.</w:t>
      </w:r>
    </w:p>
    <w:p w:rsidR="00511F4D" w:rsidRDefault="00511F4D" w:rsidP="00511F4D">
      <w:pPr>
        <w:pStyle w:val="ad"/>
        <w:rPr>
          <w:rFonts w:ascii="Arial" w:hAnsi="Arial"/>
          <w:noProof w:val="0"/>
        </w:rPr>
      </w:pPr>
    </w:p>
    <w:p w:rsidR="00511F4D" w:rsidRDefault="00511F4D" w:rsidP="00511F4D">
      <w:pPr>
        <w:numPr>
          <w:ilvl w:val="0"/>
          <w:numId w:val="1"/>
        </w:numPr>
        <w:spacing w:line="360" w:lineRule="auto"/>
        <w:ind w:left="850" w:hanging="490"/>
        <w:contextualSpacing/>
        <w:jc w:val="both"/>
        <w:rPr>
          <w:rFonts w:ascii="Arial" w:hAnsi="Arial"/>
          <w:noProof w:val="0"/>
          <w:rtl/>
        </w:rPr>
      </w:pPr>
      <w:r>
        <w:rPr>
          <w:rFonts w:ascii="Arial" w:hAnsi="Arial"/>
          <w:noProof w:val="0"/>
          <w:rtl/>
        </w:rPr>
        <w:t>למען הנוחות ובשעה שהתובענה הוגשה בחודש 12.2020</w:t>
      </w:r>
      <w:r w:rsidR="00BC6DA9">
        <w:rPr>
          <w:rFonts w:ascii="Arial" w:hAnsi="Arial" w:hint="cs"/>
          <w:noProof w:val="0"/>
          <w:rtl/>
        </w:rPr>
        <w:t>,</w:t>
      </w:r>
      <w:r>
        <w:rPr>
          <w:rFonts w:ascii="Arial" w:hAnsi="Arial"/>
          <w:noProof w:val="0"/>
          <w:rtl/>
        </w:rPr>
        <w:t xml:space="preserve"> מצאתי להורות על חיובם של התובע וגרושתו בדמי שכירות החל מיום 1.1.2021.</w:t>
      </w:r>
    </w:p>
    <w:p w:rsidR="00511F4D" w:rsidRDefault="00511F4D" w:rsidP="00511F4D">
      <w:pPr>
        <w:pStyle w:val="ad"/>
        <w:rPr>
          <w:rFonts w:ascii="Arial" w:hAnsi="Arial"/>
          <w:noProof w:val="0"/>
        </w:rPr>
      </w:pPr>
    </w:p>
    <w:p w:rsidR="00511F4D" w:rsidRDefault="00511F4D" w:rsidP="00BC6DA9">
      <w:pPr>
        <w:numPr>
          <w:ilvl w:val="0"/>
          <w:numId w:val="1"/>
        </w:numPr>
        <w:spacing w:line="360" w:lineRule="auto"/>
        <w:ind w:left="850" w:hanging="490"/>
        <w:contextualSpacing/>
        <w:jc w:val="both"/>
        <w:rPr>
          <w:rFonts w:ascii="Arial" w:hAnsi="Arial"/>
          <w:noProof w:val="0"/>
          <w:rtl/>
        </w:rPr>
      </w:pPr>
      <w:r>
        <w:rPr>
          <w:rFonts w:ascii="Arial" w:hAnsi="Arial"/>
          <w:noProof w:val="0"/>
          <w:rtl/>
        </w:rPr>
        <w:t xml:space="preserve">ע"פ המפורט בחוות דעת השמאי (טבלה </w:t>
      </w:r>
      <w:r w:rsidR="00BC6DA9">
        <w:rPr>
          <w:rFonts w:ascii="Arial" w:hAnsi="Arial"/>
          <w:noProof w:val="0"/>
          <w:rtl/>
        </w:rPr>
        <w:t xml:space="preserve">בעמ' 17 לחוות הדעת), שלא נסתרה </w:t>
      </w:r>
      <w:r w:rsidR="00BC6DA9">
        <w:rPr>
          <w:rFonts w:ascii="Arial" w:hAnsi="Arial" w:hint="cs"/>
          <w:noProof w:val="0"/>
          <w:rtl/>
        </w:rPr>
        <w:t>ל</w:t>
      </w:r>
      <w:r>
        <w:rPr>
          <w:rFonts w:ascii="Arial" w:hAnsi="Arial"/>
          <w:noProof w:val="0"/>
          <w:rtl/>
        </w:rPr>
        <w:t>עניין זה, דמי השכירות למ"ר עומדים על סך של 37 ₪ ומשכך, ע"פ חוות דעת השמאי, דמי השכירות עבור הנכס כולו (</w:t>
      </w:r>
      <w:r w:rsidR="00BC6DA9">
        <w:rPr>
          <w:rFonts w:ascii="Arial" w:hAnsi="Arial" w:hint="cs"/>
          <w:noProof w:val="0"/>
          <w:rtl/>
        </w:rPr>
        <w:t xml:space="preserve">בגודל של </w:t>
      </w:r>
      <w:r>
        <w:rPr>
          <w:rFonts w:ascii="Arial" w:hAnsi="Arial"/>
          <w:noProof w:val="0"/>
          <w:rtl/>
        </w:rPr>
        <w:t>204.13 מ"ר) עומדים על סך כולל 7,553 ₪ לחודש.</w:t>
      </w:r>
    </w:p>
    <w:p w:rsidR="00511F4D" w:rsidRDefault="00511F4D" w:rsidP="00511F4D">
      <w:pPr>
        <w:pStyle w:val="ad"/>
        <w:rPr>
          <w:rFonts w:ascii="Arial" w:hAnsi="Arial"/>
          <w:noProof w:val="0"/>
        </w:rPr>
      </w:pPr>
    </w:p>
    <w:p w:rsidR="00511F4D" w:rsidRDefault="00511F4D" w:rsidP="00511F4D">
      <w:pPr>
        <w:numPr>
          <w:ilvl w:val="0"/>
          <w:numId w:val="1"/>
        </w:numPr>
        <w:spacing w:line="360" w:lineRule="auto"/>
        <w:ind w:left="850" w:hanging="490"/>
        <w:contextualSpacing/>
        <w:jc w:val="both"/>
        <w:rPr>
          <w:rFonts w:ascii="Arial" w:hAnsi="Arial"/>
          <w:noProof w:val="0"/>
          <w:rtl/>
        </w:rPr>
      </w:pPr>
      <w:r>
        <w:rPr>
          <w:rFonts w:ascii="Arial" w:hAnsi="Arial"/>
          <w:noProof w:val="0"/>
          <w:rtl/>
        </w:rPr>
        <w:t>בשעה שהמנוח ציווה כי ייגבו מהתובע 50% מגובה דמי שכירות ראויים, הרי שמחצית דמי השכירות הראויים בגין יחידת המגורים הספציפית שהתובע וגרושתו עושים בה שימוש עומדים על סך של 3,776.5 ₪ לחודש.</w:t>
      </w:r>
    </w:p>
    <w:p w:rsidR="00511F4D" w:rsidRDefault="00511F4D" w:rsidP="00511F4D">
      <w:pPr>
        <w:pStyle w:val="ad"/>
        <w:rPr>
          <w:rFonts w:ascii="Arial" w:hAnsi="Arial"/>
          <w:noProof w:val="0"/>
        </w:rPr>
      </w:pPr>
    </w:p>
    <w:p w:rsidR="00511F4D" w:rsidRDefault="00511F4D" w:rsidP="00511F4D">
      <w:pPr>
        <w:numPr>
          <w:ilvl w:val="0"/>
          <w:numId w:val="1"/>
        </w:numPr>
        <w:spacing w:line="360" w:lineRule="auto"/>
        <w:ind w:left="850" w:hanging="490"/>
        <w:contextualSpacing/>
        <w:jc w:val="both"/>
        <w:rPr>
          <w:rFonts w:ascii="Arial" w:hAnsi="Arial"/>
          <w:noProof w:val="0"/>
          <w:rtl/>
        </w:rPr>
      </w:pPr>
      <w:r>
        <w:rPr>
          <w:rFonts w:ascii="Arial" w:hAnsi="Arial"/>
          <w:noProof w:val="0"/>
          <w:rtl/>
        </w:rPr>
        <w:t>בשעה שדמי השכירות צריכים להיות משולמים לכל יורשי המנוח ובשעה שלתובע חלק יחסי של 10% מכלל העיזבון, הרי שיש להפחית מדמי השכירות את חלקו של התובע בסך 10%, ומשכך דמי השכירות שהתובע וגרושתו חבים בהם ליתר היורשים (קרי הנתבעים 2-10) עומדים על סך של 3,398.85 ₪ לחודש.</w:t>
      </w:r>
    </w:p>
    <w:p w:rsidR="00511F4D" w:rsidRDefault="00511F4D" w:rsidP="00511F4D">
      <w:pPr>
        <w:pStyle w:val="ad"/>
        <w:spacing w:line="360" w:lineRule="auto"/>
        <w:rPr>
          <w:rFonts w:ascii="Arial" w:hAnsi="Arial"/>
          <w:noProof w:val="0"/>
        </w:rPr>
      </w:pPr>
    </w:p>
    <w:p w:rsidR="00511F4D" w:rsidRDefault="00511F4D" w:rsidP="00511F4D">
      <w:pPr>
        <w:numPr>
          <w:ilvl w:val="0"/>
          <w:numId w:val="1"/>
        </w:numPr>
        <w:spacing w:line="360" w:lineRule="auto"/>
        <w:ind w:left="850" w:hanging="490"/>
        <w:contextualSpacing/>
        <w:jc w:val="both"/>
        <w:rPr>
          <w:rFonts w:ascii="Arial" w:hAnsi="Arial"/>
          <w:noProof w:val="0"/>
          <w:rtl/>
        </w:rPr>
      </w:pPr>
      <w:r>
        <w:rPr>
          <w:rFonts w:ascii="Arial" w:hAnsi="Arial"/>
          <w:noProof w:val="0"/>
          <w:rtl/>
        </w:rPr>
        <w:t>אשר על כן ולנוכח המפורט לעיל, אני מורה כדלקמן:</w:t>
      </w:r>
    </w:p>
    <w:p w:rsidR="00511F4D" w:rsidRDefault="00511F4D" w:rsidP="00511F4D">
      <w:pPr>
        <w:spacing w:line="360" w:lineRule="auto"/>
        <w:rPr>
          <w:rFonts w:ascii="Arial" w:hAnsi="Arial"/>
          <w:noProof w:val="0"/>
        </w:rPr>
      </w:pPr>
    </w:p>
    <w:p w:rsidR="00511F4D" w:rsidRDefault="00511F4D" w:rsidP="00511F4D">
      <w:pPr>
        <w:numPr>
          <w:ilvl w:val="0"/>
          <w:numId w:val="3"/>
        </w:numPr>
        <w:spacing w:line="360" w:lineRule="auto"/>
        <w:contextualSpacing/>
        <w:jc w:val="both"/>
        <w:rPr>
          <w:rFonts w:ascii="Arial" w:hAnsi="Arial"/>
          <w:noProof w:val="0"/>
        </w:rPr>
      </w:pPr>
      <w:r>
        <w:rPr>
          <w:rFonts w:ascii="Arial" w:hAnsi="Arial"/>
          <w:noProof w:val="0"/>
          <w:rtl/>
        </w:rPr>
        <w:t xml:space="preserve">התובענה לפינוי נדחית, אלא אם התובע וגרושתו לא ישלמו </w:t>
      </w:r>
      <w:r w:rsidR="00BC6DA9">
        <w:rPr>
          <w:rFonts w:ascii="Arial" w:hAnsi="Arial" w:hint="cs"/>
          <w:noProof w:val="0"/>
          <w:rtl/>
        </w:rPr>
        <w:t xml:space="preserve">את </w:t>
      </w:r>
      <w:r>
        <w:rPr>
          <w:rFonts w:ascii="Arial" w:hAnsi="Arial"/>
          <w:noProof w:val="0"/>
          <w:rtl/>
        </w:rPr>
        <w:t xml:space="preserve">דמי </w:t>
      </w:r>
      <w:r w:rsidR="00BC6DA9">
        <w:rPr>
          <w:rFonts w:ascii="Arial" w:hAnsi="Arial" w:hint="cs"/>
          <w:noProof w:val="0"/>
          <w:rtl/>
        </w:rPr>
        <w:t>ה</w:t>
      </w:r>
      <w:r>
        <w:rPr>
          <w:rFonts w:ascii="Arial" w:hAnsi="Arial"/>
          <w:noProof w:val="0"/>
          <w:rtl/>
        </w:rPr>
        <w:t>שכירות, כמפורט להלן.</w:t>
      </w:r>
    </w:p>
    <w:p w:rsidR="00511F4D" w:rsidRDefault="00511F4D" w:rsidP="00511F4D">
      <w:pPr>
        <w:spacing w:line="360" w:lineRule="auto"/>
        <w:ind w:left="1080"/>
        <w:contextualSpacing/>
        <w:jc w:val="both"/>
        <w:rPr>
          <w:rFonts w:ascii="Arial" w:hAnsi="Arial"/>
          <w:noProof w:val="0"/>
          <w:rtl/>
        </w:rPr>
      </w:pPr>
      <w:r>
        <w:rPr>
          <w:rFonts w:ascii="Arial" w:hAnsi="Arial"/>
          <w:noProof w:val="0"/>
          <w:rtl/>
        </w:rPr>
        <w:t xml:space="preserve"> </w:t>
      </w:r>
    </w:p>
    <w:p w:rsidR="00511F4D" w:rsidRDefault="00511F4D" w:rsidP="00511F4D">
      <w:pPr>
        <w:numPr>
          <w:ilvl w:val="0"/>
          <w:numId w:val="3"/>
        </w:numPr>
        <w:spacing w:line="360" w:lineRule="auto"/>
        <w:contextualSpacing/>
        <w:jc w:val="both"/>
        <w:rPr>
          <w:rFonts w:ascii="Arial" w:hAnsi="Arial"/>
          <w:noProof w:val="0"/>
        </w:rPr>
      </w:pPr>
      <w:r>
        <w:rPr>
          <w:rFonts w:ascii="Arial" w:hAnsi="Arial"/>
          <w:noProof w:val="0"/>
          <w:rtl/>
        </w:rPr>
        <w:t>על התובע וגרושתו, ביחד ולחוד, לשלם לנתבעים 2-10 דמי שכירות בסכום של  3,398.85 ₪ לחודש וזאת החל מחודש 1.2021 וכל עוד הם מתגוררים בנכס.</w:t>
      </w:r>
    </w:p>
    <w:p w:rsidR="00511F4D" w:rsidRDefault="00511F4D" w:rsidP="00511F4D">
      <w:pPr>
        <w:spacing w:line="360" w:lineRule="auto"/>
        <w:ind w:left="1080"/>
        <w:contextualSpacing/>
        <w:jc w:val="both"/>
        <w:rPr>
          <w:rFonts w:ascii="Arial" w:hAnsi="Arial"/>
          <w:noProof w:val="0"/>
        </w:rPr>
      </w:pPr>
    </w:p>
    <w:p w:rsidR="00511F4D" w:rsidRDefault="00511F4D" w:rsidP="00511F4D">
      <w:pPr>
        <w:numPr>
          <w:ilvl w:val="0"/>
          <w:numId w:val="3"/>
        </w:numPr>
        <w:spacing w:line="360" w:lineRule="auto"/>
        <w:contextualSpacing/>
        <w:jc w:val="both"/>
        <w:rPr>
          <w:rFonts w:ascii="Arial" w:hAnsi="Arial"/>
          <w:noProof w:val="0"/>
        </w:rPr>
      </w:pPr>
      <w:r>
        <w:rPr>
          <w:rFonts w:ascii="Arial" w:hAnsi="Arial"/>
          <w:noProof w:val="0"/>
          <w:rtl/>
        </w:rPr>
        <w:lastRenderedPageBreak/>
        <w:t>החיוב שנצבר מחודש 1.2021 ועד למועד מתן פסק הדין ישולם ב- 10 תשלומים שווים וחודשיים</w:t>
      </w:r>
      <w:r w:rsidR="00BC6DA9">
        <w:rPr>
          <w:rFonts w:ascii="Arial" w:hAnsi="Arial" w:hint="cs"/>
          <w:noProof w:val="0"/>
          <w:rtl/>
        </w:rPr>
        <w:t>, בד בבד עם תשלום דמי השכירות השוטפים</w:t>
      </w:r>
      <w:r>
        <w:rPr>
          <w:rFonts w:ascii="Arial" w:hAnsi="Arial"/>
          <w:noProof w:val="0"/>
          <w:rtl/>
        </w:rPr>
        <w:t>, כשסכום זה נושא הפרשי הצמדה וריבית כדין מיום הגשת התביעה (13.12.2020) ועד למועד התשלום בפועל.</w:t>
      </w:r>
    </w:p>
    <w:p w:rsidR="00511F4D" w:rsidRDefault="00511F4D" w:rsidP="00586007">
      <w:pPr>
        <w:contextualSpacing/>
        <w:rPr>
          <w:rFonts w:ascii="Arial" w:hAnsi="Arial"/>
          <w:noProof w:val="0"/>
          <w:rtl/>
        </w:rPr>
      </w:pPr>
    </w:p>
    <w:p w:rsidR="00511F4D" w:rsidRDefault="00511F4D" w:rsidP="00511F4D">
      <w:pPr>
        <w:numPr>
          <w:ilvl w:val="0"/>
          <w:numId w:val="3"/>
        </w:numPr>
        <w:spacing w:line="360" w:lineRule="auto"/>
        <w:contextualSpacing/>
        <w:jc w:val="both"/>
        <w:rPr>
          <w:rFonts w:ascii="Arial" w:hAnsi="Arial"/>
          <w:noProof w:val="0"/>
        </w:rPr>
      </w:pPr>
      <w:r>
        <w:rPr>
          <w:rFonts w:ascii="Arial" w:hAnsi="Arial"/>
          <w:noProof w:val="0"/>
          <w:rtl/>
        </w:rPr>
        <w:t>למען הסר ספק, על התובע וגרושתו, ביחד ולחוד, לשאת בכל התשלומים הנובעים מהשימוש וההחזקה בנכס (לרבות ארנונה, חשמל, מים, אגרות וכדו') וזאת בגין כל תקופת המגורים שלהם בנ</w:t>
      </w:r>
      <w:r w:rsidR="00BC6DA9">
        <w:rPr>
          <w:rFonts w:ascii="Arial" w:hAnsi="Arial"/>
          <w:noProof w:val="0"/>
          <w:rtl/>
        </w:rPr>
        <w:t>כס. כפי שקבעתי לעיל בהליך הקשור</w:t>
      </w:r>
      <w:r w:rsidR="00BC6DA9">
        <w:rPr>
          <w:rFonts w:ascii="Arial" w:hAnsi="Arial" w:hint="cs"/>
          <w:noProof w:val="0"/>
          <w:rtl/>
        </w:rPr>
        <w:t>.</w:t>
      </w:r>
      <w:r>
        <w:rPr>
          <w:rFonts w:ascii="Arial" w:hAnsi="Arial"/>
          <w:noProof w:val="0"/>
          <w:rtl/>
        </w:rPr>
        <w:t xml:space="preserve"> מדובר בתנאי יסוד</w:t>
      </w:r>
      <w:r w:rsidR="00BC6DA9">
        <w:rPr>
          <w:rFonts w:ascii="Arial" w:hAnsi="Arial" w:hint="cs"/>
          <w:noProof w:val="0"/>
          <w:rtl/>
        </w:rPr>
        <w:t>י,</w:t>
      </w:r>
      <w:r>
        <w:rPr>
          <w:rFonts w:ascii="Arial" w:hAnsi="Arial"/>
          <w:noProof w:val="0"/>
          <w:rtl/>
        </w:rPr>
        <w:t xml:space="preserve"> שמכוחו יוכל להימשך רישיון השימוש שניתן לתובע</w:t>
      </w:r>
      <w:r w:rsidR="00BC6DA9">
        <w:rPr>
          <w:rFonts w:ascii="Arial" w:hAnsi="Arial" w:hint="cs"/>
          <w:noProof w:val="0"/>
          <w:rtl/>
        </w:rPr>
        <w:t xml:space="preserve"> ובהיעדרו, </w:t>
      </w:r>
      <w:r w:rsidR="00F4135D">
        <w:rPr>
          <w:rFonts w:ascii="Arial" w:hAnsi="Arial" w:hint="cs"/>
          <w:noProof w:val="0"/>
          <w:rtl/>
        </w:rPr>
        <w:t>י</w:t>
      </w:r>
      <w:r w:rsidR="00BC6DA9">
        <w:rPr>
          <w:rFonts w:ascii="Arial" w:hAnsi="Arial" w:hint="cs"/>
          <w:noProof w:val="0"/>
          <w:rtl/>
        </w:rPr>
        <w:t>פקע הרישיון</w:t>
      </w:r>
      <w:r>
        <w:rPr>
          <w:rFonts w:ascii="Arial" w:hAnsi="Arial"/>
          <w:noProof w:val="0"/>
          <w:rtl/>
        </w:rPr>
        <w:t xml:space="preserve">. </w:t>
      </w:r>
    </w:p>
    <w:p w:rsidR="00511F4D" w:rsidRPr="00F4135D" w:rsidRDefault="00511F4D" w:rsidP="00511F4D">
      <w:pPr>
        <w:rPr>
          <w:rFonts w:ascii="Arial" w:hAnsi="Arial"/>
          <w:noProof w:val="0"/>
          <w:rtl/>
        </w:rPr>
      </w:pPr>
    </w:p>
    <w:p w:rsidR="00E83E78" w:rsidRDefault="00511F4D" w:rsidP="00F4135D">
      <w:pPr>
        <w:numPr>
          <w:ilvl w:val="0"/>
          <w:numId w:val="1"/>
        </w:numPr>
        <w:spacing w:line="360" w:lineRule="auto"/>
        <w:ind w:left="850" w:hanging="490"/>
        <w:contextualSpacing/>
        <w:jc w:val="both"/>
        <w:rPr>
          <w:rFonts w:ascii="Arial" w:hAnsi="Arial"/>
          <w:noProof w:val="0"/>
        </w:rPr>
      </w:pPr>
      <w:r w:rsidRPr="00E83E78">
        <w:rPr>
          <w:rFonts w:ascii="Arial" w:hAnsi="Arial"/>
          <w:noProof w:val="0"/>
          <w:rtl/>
        </w:rPr>
        <w:t xml:space="preserve">לנוכח </w:t>
      </w:r>
      <w:r w:rsidR="00F4135D">
        <w:rPr>
          <w:rFonts w:ascii="Arial" w:hAnsi="Arial" w:hint="cs"/>
          <w:noProof w:val="0"/>
          <w:rtl/>
        </w:rPr>
        <w:t>התוצאה אליה הגעתי</w:t>
      </w:r>
      <w:r w:rsidRPr="00E83E78">
        <w:rPr>
          <w:rFonts w:ascii="Arial" w:hAnsi="Arial"/>
          <w:noProof w:val="0"/>
          <w:rtl/>
        </w:rPr>
        <w:t xml:space="preserve">, </w:t>
      </w:r>
      <w:r w:rsidR="00E83E78" w:rsidRPr="00E83E78">
        <w:rPr>
          <w:rFonts w:ascii="Arial" w:hAnsi="Arial" w:hint="cs"/>
          <w:noProof w:val="0"/>
          <w:rtl/>
        </w:rPr>
        <w:t xml:space="preserve">בשעה שדחיתי את מרבית רכיבי תביעת התובע וקיבלתי את עיקרה של תביעת הנתבעים לחיוב התובע בדמי שכירות </w:t>
      </w:r>
      <w:r w:rsidR="00F4135D">
        <w:rPr>
          <w:rFonts w:ascii="Arial" w:hAnsi="Arial" w:hint="cs"/>
          <w:noProof w:val="0"/>
          <w:rtl/>
        </w:rPr>
        <w:t xml:space="preserve">ולאור התנהלות התובע בניהול ההליכים, </w:t>
      </w:r>
      <w:r w:rsidRPr="00E83E78">
        <w:rPr>
          <w:rFonts w:ascii="Arial" w:hAnsi="Arial"/>
          <w:noProof w:val="0"/>
          <w:rtl/>
        </w:rPr>
        <w:t xml:space="preserve">התובע יישא בהוצאות הנתבעים בסך של </w:t>
      </w:r>
      <w:r w:rsidR="00E83E78" w:rsidRPr="00E83E78">
        <w:rPr>
          <w:rFonts w:ascii="Arial" w:hAnsi="Arial" w:hint="cs"/>
          <w:noProof w:val="0"/>
          <w:rtl/>
        </w:rPr>
        <w:t>20</w:t>
      </w:r>
      <w:r w:rsidRPr="00E83E78">
        <w:rPr>
          <w:rFonts w:ascii="Arial" w:hAnsi="Arial"/>
          <w:noProof w:val="0"/>
          <w:rtl/>
        </w:rPr>
        <w:t>,000 ₪, שישולמו בתוך 30 ימים מהיום, כשסכום זה נושא הפרשי הצמדה וריבית כדין מהיום ועד לתשלום בפועל.</w:t>
      </w:r>
    </w:p>
    <w:p w:rsidR="00E83E78" w:rsidRPr="00F4135D" w:rsidRDefault="00E83E78" w:rsidP="00E83E78">
      <w:pPr>
        <w:spacing w:line="360" w:lineRule="auto"/>
        <w:contextualSpacing/>
        <w:jc w:val="both"/>
        <w:rPr>
          <w:rFonts w:ascii="Arial" w:hAnsi="Arial"/>
          <w:noProof w:val="0"/>
          <w:rtl/>
        </w:rPr>
      </w:pPr>
    </w:p>
    <w:p w:rsidR="00511F4D" w:rsidRPr="00E83E78" w:rsidRDefault="00511F4D" w:rsidP="00E83E78">
      <w:pPr>
        <w:spacing w:line="360" w:lineRule="auto"/>
        <w:contextualSpacing/>
        <w:jc w:val="both"/>
        <w:rPr>
          <w:rFonts w:ascii="Arial" w:hAnsi="Arial"/>
          <w:noProof w:val="0"/>
        </w:rPr>
      </w:pPr>
      <w:r w:rsidRPr="00E83E78">
        <w:rPr>
          <w:rFonts w:ascii="Arial" w:hAnsi="Arial"/>
          <w:noProof w:val="0"/>
          <w:rtl/>
        </w:rPr>
        <w:t>פסק הדין מותר בפרסום בהשמטת שמות הצדדים ובכפוף לתיקוני עריכה.</w:t>
      </w:r>
    </w:p>
    <w:p w:rsidR="00511F4D" w:rsidRPr="00E83E78" w:rsidRDefault="00511F4D" w:rsidP="00511F4D">
      <w:pPr>
        <w:pStyle w:val="ad"/>
        <w:rPr>
          <w:rFonts w:ascii="Arial" w:hAnsi="Arial"/>
          <w:noProof w:val="0"/>
          <w:rtl/>
        </w:rPr>
      </w:pPr>
    </w:p>
    <w:p w:rsidR="00F4135D" w:rsidRDefault="00511F4D" w:rsidP="00511F4D">
      <w:pPr>
        <w:spacing w:line="360" w:lineRule="auto"/>
        <w:jc w:val="both"/>
        <w:rPr>
          <w:rFonts w:ascii="Arial" w:hAnsi="Arial"/>
          <w:noProof w:val="0"/>
          <w:rtl/>
        </w:rPr>
      </w:pPr>
      <w:r>
        <w:rPr>
          <w:rFonts w:ascii="Arial" w:hAnsi="Arial"/>
          <w:noProof w:val="0"/>
          <w:rtl/>
        </w:rPr>
        <w:t>בכ</w:t>
      </w:r>
      <w:r w:rsidR="00F4135D">
        <w:rPr>
          <w:rFonts w:ascii="Arial" w:hAnsi="Arial"/>
          <w:noProof w:val="0"/>
          <w:rtl/>
        </w:rPr>
        <w:t>ך מסתיים בירור התובענות שבכותרת</w:t>
      </w:r>
      <w:r w:rsidR="00F4135D">
        <w:rPr>
          <w:rFonts w:ascii="Arial" w:hAnsi="Arial" w:hint="cs"/>
          <w:noProof w:val="0"/>
          <w:rtl/>
        </w:rPr>
        <w:t>.</w:t>
      </w:r>
      <w:r>
        <w:rPr>
          <w:rFonts w:ascii="Arial" w:hAnsi="Arial"/>
          <w:noProof w:val="0"/>
          <w:rtl/>
        </w:rPr>
        <w:t xml:space="preserve"> </w:t>
      </w:r>
    </w:p>
    <w:p w:rsidR="00F4135D" w:rsidRDefault="00F4135D" w:rsidP="00511F4D">
      <w:pPr>
        <w:spacing w:line="360" w:lineRule="auto"/>
        <w:jc w:val="both"/>
        <w:rPr>
          <w:rFonts w:ascii="Arial" w:hAnsi="Arial"/>
          <w:noProof w:val="0"/>
          <w:rtl/>
        </w:rPr>
      </w:pPr>
    </w:p>
    <w:p w:rsidR="00511F4D" w:rsidRPr="00F4135D" w:rsidRDefault="00511F4D" w:rsidP="009F467A">
      <w:pPr>
        <w:spacing w:line="360" w:lineRule="auto"/>
        <w:jc w:val="both"/>
        <w:rPr>
          <w:rFonts w:ascii="Arial" w:hAnsi="Arial"/>
          <w:b/>
          <w:bCs/>
          <w:noProof w:val="0"/>
        </w:rPr>
      </w:pPr>
      <w:r w:rsidRPr="00F4135D">
        <w:rPr>
          <w:rFonts w:ascii="Arial" w:hAnsi="Arial"/>
          <w:b/>
          <w:bCs/>
          <w:noProof w:val="0"/>
          <w:rtl/>
        </w:rPr>
        <w:t>המזכירות</w:t>
      </w:r>
      <w:r w:rsidR="00F4135D" w:rsidRPr="00F4135D">
        <w:rPr>
          <w:rFonts w:ascii="Arial" w:hAnsi="Arial" w:hint="cs"/>
          <w:b/>
          <w:bCs/>
          <w:noProof w:val="0"/>
          <w:rtl/>
        </w:rPr>
        <w:t xml:space="preserve"> תסרוק פסק הדין ל</w:t>
      </w:r>
      <w:r w:rsidR="00F4135D" w:rsidRPr="00F4135D">
        <w:rPr>
          <w:rFonts w:ascii="Arial" w:hAnsi="Arial"/>
          <w:b/>
          <w:bCs/>
          <w:noProof w:val="0"/>
          <w:rtl/>
        </w:rPr>
        <w:t>תמ"ש 27575-12-20</w:t>
      </w:r>
      <w:r w:rsidRPr="00F4135D">
        <w:rPr>
          <w:rFonts w:ascii="Arial" w:hAnsi="Arial"/>
          <w:b/>
          <w:bCs/>
          <w:noProof w:val="0"/>
          <w:rtl/>
        </w:rPr>
        <w:t xml:space="preserve"> </w:t>
      </w:r>
      <w:r w:rsidR="009F467A">
        <w:rPr>
          <w:rFonts w:ascii="Arial" w:hAnsi="Arial" w:hint="cs"/>
          <w:b/>
          <w:bCs/>
          <w:noProof w:val="0"/>
          <w:rtl/>
        </w:rPr>
        <w:t>ו</w:t>
      </w:r>
      <w:r w:rsidRPr="00F4135D">
        <w:rPr>
          <w:rFonts w:ascii="Arial" w:hAnsi="Arial"/>
          <w:b/>
          <w:bCs/>
          <w:noProof w:val="0"/>
          <w:rtl/>
        </w:rPr>
        <w:t xml:space="preserve">תסגור </w:t>
      </w:r>
      <w:r w:rsidR="009F467A">
        <w:rPr>
          <w:rFonts w:ascii="Arial" w:hAnsi="Arial" w:hint="cs"/>
          <w:b/>
          <w:bCs/>
          <w:noProof w:val="0"/>
          <w:rtl/>
        </w:rPr>
        <w:t>שני ההליכים</w:t>
      </w:r>
      <w:r w:rsidRPr="00F4135D">
        <w:rPr>
          <w:rFonts w:ascii="Arial" w:hAnsi="Arial"/>
          <w:b/>
          <w:bCs/>
          <w:noProof w:val="0"/>
          <w:rtl/>
        </w:rPr>
        <w:t>.</w:t>
      </w:r>
    </w:p>
    <w:p w:rsidR="00511F4D" w:rsidRPr="009F467A" w:rsidRDefault="00511F4D" w:rsidP="00511F4D">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טבת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דצמבר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F1EAB" w:rsidP="00633C4F">
      <w:pPr>
        <w:spacing w:line="360" w:lineRule="auto"/>
        <w:ind w:left="3600" w:firstLine="720"/>
      </w:pPr>
      <w:sdt>
        <w:sdtPr>
          <w:rPr>
            <w:rtl/>
          </w:rPr>
          <w:alias w:val="MergeField"/>
          <w:tag w:val="1237"/>
          <w:id w:val="-1523855830"/>
        </w:sdtPr>
        <w:sdtEndPr/>
        <w:sdtContent>
          <w:r w:rsidR="005B7B29">
            <w:rPr>
              <w:rFonts w:hint="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EAB" w:rsidRDefault="009F1EAB">
      <w:r>
        <w:separator/>
      </w:r>
    </w:p>
  </w:endnote>
  <w:endnote w:type="continuationSeparator" w:id="0">
    <w:p w:rsidR="009F1EAB" w:rsidRDefault="009F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1F9" w:rsidRDefault="00DB71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B71F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B71F9">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1F9" w:rsidRDefault="00DB71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EAB" w:rsidRDefault="009F1EAB">
      <w:r>
        <w:separator/>
      </w:r>
    </w:p>
  </w:footnote>
  <w:footnote w:type="continuationSeparator" w:id="0">
    <w:p w:rsidR="009F1EAB" w:rsidRDefault="009F1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1F9" w:rsidRDefault="00DB71F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גת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Default="009F1EAB" w:rsidP="0076676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7772-12-19</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04200">
                <w:rPr>
                  <w:b/>
                  <w:bCs/>
                  <w:noProof w:val="0"/>
                  <w:sz w:val="26"/>
                  <w:szCs w:val="26"/>
                  <w:rtl/>
                </w:rPr>
                <w:t>נ נ' נ</w:t>
              </w:r>
              <w:r w:rsidR="005B7B29">
                <w:rPr>
                  <w:rFonts w:hint="cs"/>
                  <w:b/>
                  <w:bCs/>
                  <w:noProof w:val="0"/>
                  <w:sz w:val="26"/>
                  <w:szCs w:val="26"/>
                  <w:rtl/>
                </w:rPr>
                <w:t xml:space="preserve"> </w:t>
              </w:r>
              <w:r w:rsidR="00FB3C14">
                <w:rPr>
                  <w:b/>
                  <w:bCs/>
                  <w:noProof w:val="0"/>
                  <w:sz w:val="26"/>
                  <w:szCs w:val="26"/>
                  <w:rtl/>
                </w:rPr>
                <w:t>(המנוח) ואח'</w:t>
              </w:r>
            </w:sdtContent>
          </w:sdt>
        </w:p>
        <w:p w:rsidR="00766766" w:rsidRPr="00766766" w:rsidRDefault="009F1EAB" w:rsidP="00766766">
          <w:pPr>
            <w:rPr>
              <w:b/>
              <w:bCs/>
              <w:noProof w:val="0"/>
              <w:sz w:val="26"/>
              <w:szCs w:val="26"/>
              <w:rtl/>
            </w:rPr>
          </w:pPr>
          <w:sdt>
            <w:sdtPr>
              <w:rPr>
                <w:b/>
                <w:bCs/>
                <w:noProof w:val="0"/>
                <w:sz w:val="26"/>
                <w:szCs w:val="26"/>
                <w:rtl/>
              </w:rPr>
              <w:alias w:val="1170"/>
              <w:tag w:val="1170"/>
              <w:id w:val="876819740"/>
              <w:text w:multiLine="1"/>
            </w:sdtPr>
            <w:sdtEndPr/>
            <w:sdtContent>
              <w:r w:rsidR="00766766">
                <w:rPr>
                  <w:b/>
                  <w:bCs/>
                  <w:noProof w:val="0"/>
                  <w:sz w:val="26"/>
                  <w:szCs w:val="26"/>
                  <w:rtl/>
                </w:rPr>
                <w:t>תמ"ש</w:t>
              </w:r>
            </w:sdtContent>
          </w:sdt>
          <w:r w:rsidR="00766766">
            <w:rPr>
              <w:b/>
              <w:bCs/>
              <w:noProof w:val="0"/>
              <w:sz w:val="26"/>
              <w:szCs w:val="26"/>
              <w:rtl/>
            </w:rPr>
            <w:t xml:space="preserve"> </w:t>
          </w:r>
          <w:sdt>
            <w:sdtPr>
              <w:rPr>
                <w:b/>
                <w:bCs/>
                <w:noProof w:val="0"/>
                <w:sz w:val="26"/>
                <w:szCs w:val="26"/>
                <w:rtl/>
              </w:rPr>
              <w:alias w:val="1171"/>
              <w:tag w:val="1171"/>
              <w:id w:val="-831218315"/>
              <w:text w:multiLine="1"/>
            </w:sdtPr>
            <w:sdtEndPr/>
            <w:sdtContent>
              <w:r w:rsidR="00766766">
                <w:rPr>
                  <w:b/>
                  <w:bCs/>
                  <w:noProof w:val="0"/>
                  <w:sz w:val="26"/>
                  <w:szCs w:val="26"/>
                  <w:rtl/>
                </w:rPr>
                <w:t>27575-12-20</w:t>
              </w:r>
            </w:sdtContent>
          </w:sdt>
          <w:r w:rsidR="00766766">
            <w:rPr>
              <w:b/>
              <w:bCs/>
              <w:noProof w:val="0"/>
              <w:sz w:val="26"/>
              <w:szCs w:val="26"/>
              <w:rtl/>
            </w:rPr>
            <w:t xml:space="preserve"> </w:t>
          </w:r>
          <w:sdt>
            <w:sdtPr>
              <w:rPr>
                <w:b/>
                <w:bCs/>
                <w:noProof w:val="0"/>
                <w:sz w:val="26"/>
                <w:szCs w:val="26"/>
                <w:rtl/>
              </w:rPr>
              <w:alias w:val="1172"/>
              <w:tag w:val="1172"/>
              <w:id w:val="-413314620"/>
              <w:text w:multiLine="1"/>
            </w:sdtPr>
            <w:sdtEndPr/>
            <w:sdtContent>
              <w:r w:rsidR="00404200">
                <w:rPr>
                  <w:b/>
                  <w:bCs/>
                  <w:noProof w:val="0"/>
                  <w:sz w:val="26"/>
                  <w:szCs w:val="26"/>
                  <w:rtl/>
                </w:rPr>
                <w:t>נ ואח' נ' נ</w:t>
              </w:r>
              <w:r w:rsidR="00766766">
                <w:rPr>
                  <w:b/>
                  <w:bCs/>
                  <w:noProof w:val="0"/>
                  <w:sz w:val="26"/>
                  <w:szCs w:val="26"/>
                  <w:rtl/>
                </w:rPr>
                <w:t xml:space="preserve"> ואח'</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1F9" w:rsidRDefault="00DB71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426F8"/>
    <w:multiLevelType w:val="hybridMultilevel"/>
    <w:tmpl w:val="7B784066"/>
    <w:lvl w:ilvl="0" w:tplc="EA9CF36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9D8001C"/>
    <w:multiLevelType w:val="hybridMultilevel"/>
    <w:tmpl w:val="598A7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EE97AA1"/>
    <w:multiLevelType w:val="hybridMultilevel"/>
    <w:tmpl w:val="B17447C6"/>
    <w:lvl w:ilvl="0" w:tplc="92F2E57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9780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978065&amp;lt;/CaseID&amp;gt;_x000d__x000a_        &amp;lt;CaseMonth&amp;gt;12&amp;lt;/CaseMonth&amp;gt;_x000d__x000a_        &amp;lt;CaseYear&amp;gt;2019&amp;lt;/CaseYear&amp;gt;_x000d__x000a_        &amp;lt;CaseNumber&amp;gt;7772&amp;lt;/CaseNumber&amp;gt;_x000d__x000a_        &amp;lt;NumeratorGroupID&amp;gt;1&amp;lt;/NumeratorGroupID&amp;gt;_x000d__x000a_        &amp;lt;CaseName&amp;gt;נגר נ&amp;#39; נגר(המנוח) ואח&amp;#39;&amp;lt;/CaseName&amp;gt;_x000d__x000a_        &amp;lt;CourtID&amp;gt;44&amp;lt;/CourtID&amp;gt;_x000d__x000a_        &amp;lt;CaseTypeID&amp;gt;86&amp;lt;/CaseTypeID&amp;gt;_x000d__x000a_        &amp;lt;CaseInterestID&amp;gt;2&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772-12-19&amp;lt;/CaseDisplayIdentifier&amp;gt;_x000d__x000a_        &amp;lt;CaseTypeDesc&amp;gt;ת&amp;quot;ע&amp;lt;/CaseTypeDesc&amp;gt;_x000d__x000a_        &amp;lt;CourtDesc&amp;gt;שלום קריית ג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12-03T08:55:00+02:00&amp;lt;/CaseOpenDate&amp;gt;_x000d__x000a_        &amp;lt;PleaTypeID&amp;gt;5&amp;lt;/PleaTypeID&amp;gt;_x000d__x000a_        &amp;lt;CourtLevelID&amp;gt;1&amp;lt;/CourtLevelID&amp;gt;_x000d__x000a_        &amp;lt;CourtLevelCaseTypeInterestID&amp;gt;71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IsMainCase&amp;gt;false&amp;lt;/IsMainCase&amp;gt;_x000d__x000a_        &amp;lt;CaseDesc&amp;gt;עותק מדוגל מראיות תובע שהוגש ב22.6.22 ולא נסרק לנט הועבר ללשכת השופט אריאל ממן בהמשך לבקשתו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978065&amp;lt;/CaseID&amp;gt;_x000d__x000a_        &amp;lt;CaseMonth&amp;gt;12&amp;lt;/CaseMonth&amp;gt;_x000d__x000a_        &amp;lt;CaseYear&amp;gt;2019&amp;lt;/CaseYear&amp;gt;_x000d__x000a_        &amp;lt;CaseNumber&amp;gt;7772&amp;lt;/CaseNumber&amp;gt;_x000d__x000a_        &amp;lt;NumeratorGroupID&amp;gt;1&amp;lt;/NumeratorGroupID&amp;gt;_x000d__x000a_        &amp;lt;CaseName&amp;gt;נגר נ&amp;#39; נגר(המנוח) ואח&amp;#39;&amp;lt;/CaseName&amp;gt;_x000d__x000a_        &amp;lt;CourtID&amp;gt;44&amp;lt;/CourtID&amp;gt;_x000d__x000a_        &amp;lt;CaseTypeID&amp;gt;86&amp;lt;/CaseTypeID&amp;gt;_x000d__x000a_        &amp;lt;CaseInterestID&amp;gt;2&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772-12-19&amp;lt;/CaseDisplayIdentifier&amp;gt;_x000d__x000a_        &amp;lt;CaseTypeDesc&amp;gt;ת&amp;quot;ע&amp;lt;/CaseTypeDesc&amp;gt;_x000d__x000a_        &amp;lt;CourtDesc&amp;gt;שלום קריית גת&amp;lt;/CourtDesc&amp;gt;_x000d__x000a_        &amp;lt;CaseStageDesc&amp;gt;תיק אלקטרוני&amp;lt;/CaseStageDesc&amp;gt;_x000d__x000a_        &amp;lt;CaseNextDeterminingTask&amp;gt;34&amp;lt;/CaseNextDeterminingTask&amp;gt;_x000d__x000a_        &amp;lt;CaseOpenDate&amp;gt;2019-12-03T08:55:00+02:00&amp;lt;/CaseOpenDate&amp;gt;_x000d__x000a_        &amp;lt;PleaTypeID&amp;gt;5&amp;lt;/PleaTypeID&amp;gt;_x000d__x000a_        &amp;lt;CourtLevelID&amp;gt;1&amp;lt;/CourtLevelID&amp;gt;_x000d__x000a_        &amp;lt;CourtLevelCaseTypeInterestID&amp;gt;71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IsMainCase&amp;gt;false&amp;lt;/IsMainCase&amp;gt;_x000d__x000a_        &amp;lt;CaseDesc&amp;gt;עותק מדוגל מראיות תובע שהוגש ב22.6.22 ולא נסרק לנט הועבר ללשכת השופט אריאל ממן בהמשך לבקשתו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789622&amp;lt;/DecisionID&amp;gt;_x000d__x000a_        &amp;lt;DecisionName&amp;gt;פסק דין  שניתנה ע&amp;quot;י  אריאל ממן&amp;lt;/DecisionName&amp;gt;_x000d__x000a_        &amp;lt;DecisionStatusID&amp;gt;1&amp;lt;/DecisionStatusID&amp;gt;_x000d__x000a_        &amp;lt;DecisionStatusChangeDate&amp;gt;2023-12-25T14:31:26.707+02:00&amp;lt;/DecisionStatusChangeDate&amp;gt;_x000d__x000a_        &amp;lt;DecisionSignatureDate&amp;gt;2023-12-25T10:36:31.457+02:00&amp;lt;/DecisionSignatureDate&amp;gt;_x000d__x000a_        &amp;lt;DecisionSignatureUserID&amp;gt;036029429@GOV.IL&amp;lt;/DecisionSignatureUserID&amp;gt;_x000d__x000a_        &amp;lt;DecisionCreateDate&amp;gt;2023-12-25T10:41:55.007+02:00&amp;lt;/DecisionCreateDate&amp;gt;_x000d__x000a_        &amp;lt;DecisionChangeDate&amp;gt;2023-12-25T14:31:26.61+02: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945256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789622&amp;lt;/DecisionID&amp;gt;_x000d__x000a_        &amp;lt;CaseID&amp;gt;76978065&amp;lt;/CaseID&amp;gt;_x000d__x000a_        &amp;lt;IsOriginal&amp;gt;true&amp;lt;/IsOriginal&amp;gt;_x000d__x000a_        &amp;lt;IsDeleted&amp;gt;false&amp;lt;/IsDeleted&amp;gt;_x000d__x000a_        &amp;lt;CaseName&amp;gt;נגר נ&amp;#39; נגר(המנוח) ואח&amp;#39;&amp;lt;/CaseName&amp;gt;_x000d__x000a_        &amp;lt;CaseDisplayIdentifier&amp;gt;7772-12-19 ת&amp;quot;ע&amp;lt;/CaseDisplayIdentifier&amp;gt;_x000d__x000a_      &amp;lt;/dt_DecisionCase&amp;gt;_x000d__x000a_    &amp;lt;/DecisionDS&amp;gt;_x000d__x000a_  &amp;lt;/diffgr:diffgram&amp;gt;_x000d__x000a_&amp;lt;/DecisionDS&amp;gt;"/>
    <w:docVar w:name="DecisionID" w:val="148789622"/>
    <w:docVar w:name="WordClientAssemblyName" w:val="NGCS.Decision.ClientWordBL"/>
    <w:docVar w:name="WordClientClassName" w:val="NGCS.Decision.ClientWordBL.DecisionClient"/>
  </w:docVars>
  <w:rsids>
    <w:rsidRoot w:val="00694556"/>
    <w:rsid w:val="0000187F"/>
    <w:rsid w:val="00005C8B"/>
    <w:rsid w:val="000146C2"/>
    <w:rsid w:val="00016C35"/>
    <w:rsid w:val="000258FD"/>
    <w:rsid w:val="000564AB"/>
    <w:rsid w:val="0008441A"/>
    <w:rsid w:val="000870BD"/>
    <w:rsid w:val="000952D5"/>
    <w:rsid w:val="000A4D35"/>
    <w:rsid w:val="000A5577"/>
    <w:rsid w:val="000C4196"/>
    <w:rsid w:val="000D0E2C"/>
    <w:rsid w:val="000D4A02"/>
    <w:rsid w:val="000D758D"/>
    <w:rsid w:val="000D76D0"/>
    <w:rsid w:val="000F5829"/>
    <w:rsid w:val="00100C0B"/>
    <w:rsid w:val="00106A17"/>
    <w:rsid w:val="001072A9"/>
    <w:rsid w:val="00107880"/>
    <w:rsid w:val="00107FCE"/>
    <w:rsid w:val="00121348"/>
    <w:rsid w:val="00121F97"/>
    <w:rsid w:val="00125C5F"/>
    <w:rsid w:val="001277D7"/>
    <w:rsid w:val="00132017"/>
    <w:rsid w:val="0014234E"/>
    <w:rsid w:val="00145A87"/>
    <w:rsid w:val="001847AD"/>
    <w:rsid w:val="00185B6B"/>
    <w:rsid w:val="001B66C1"/>
    <w:rsid w:val="001C4003"/>
    <w:rsid w:val="001F241B"/>
    <w:rsid w:val="001F5474"/>
    <w:rsid w:val="0021295B"/>
    <w:rsid w:val="002352F7"/>
    <w:rsid w:val="00235ED2"/>
    <w:rsid w:val="00256B83"/>
    <w:rsid w:val="00261FC7"/>
    <w:rsid w:val="0027190D"/>
    <w:rsid w:val="0027277D"/>
    <w:rsid w:val="002752D2"/>
    <w:rsid w:val="002849BB"/>
    <w:rsid w:val="002A40BD"/>
    <w:rsid w:val="00326B94"/>
    <w:rsid w:val="00381D3A"/>
    <w:rsid w:val="003823DA"/>
    <w:rsid w:val="003C48D4"/>
    <w:rsid w:val="003C5588"/>
    <w:rsid w:val="00404200"/>
    <w:rsid w:val="004126E3"/>
    <w:rsid w:val="00414AA2"/>
    <w:rsid w:val="0043595F"/>
    <w:rsid w:val="0047645A"/>
    <w:rsid w:val="00492BD4"/>
    <w:rsid w:val="004A3561"/>
    <w:rsid w:val="004C6C80"/>
    <w:rsid w:val="004D49A3"/>
    <w:rsid w:val="004D50AC"/>
    <w:rsid w:val="004E6CB2"/>
    <w:rsid w:val="004E6E3C"/>
    <w:rsid w:val="004F22EC"/>
    <w:rsid w:val="00511F4D"/>
    <w:rsid w:val="005124F1"/>
    <w:rsid w:val="00530BAD"/>
    <w:rsid w:val="005366A9"/>
    <w:rsid w:val="00541598"/>
    <w:rsid w:val="00547DB7"/>
    <w:rsid w:val="00567324"/>
    <w:rsid w:val="00586007"/>
    <w:rsid w:val="005877BC"/>
    <w:rsid w:val="00592B6A"/>
    <w:rsid w:val="005B0F49"/>
    <w:rsid w:val="005B1CAE"/>
    <w:rsid w:val="005B5C83"/>
    <w:rsid w:val="005B7B29"/>
    <w:rsid w:val="005C3C37"/>
    <w:rsid w:val="005C7EC6"/>
    <w:rsid w:val="005D4BDB"/>
    <w:rsid w:val="005F4F19"/>
    <w:rsid w:val="00622BAA"/>
    <w:rsid w:val="00625C89"/>
    <w:rsid w:val="00633C4F"/>
    <w:rsid w:val="00647494"/>
    <w:rsid w:val="00652FE3"/>
    <w:rsid w:val="00657BE6"/>
    <w:rsid w:val="00671BD5"/>
    <w:rsid w:val="0067626F"/>
    <w:rsid w:val="006805C1"/>
    <w:rsid w:val="006816EC"/>
    <w:rsid w:val="00682AD3"/>
    <w:rsid w:val="00694556"/>
    <w:rsid w:val="006B5CBE"/>
    <w:rsid w:val="006E1A53"/>
    <w:rsid w:val="006F6DA6"/>
    <w:rsid w:val="0070032F"/>
    <w:rsid w:val="007056AA"/>
    <w:rsid w:val="00720C5A"/>
    <w:rsid w:val="00722F18"/>
    <w:rsid w:val="007271AF"/>
    <w:rsid w:val="00731ECE"/>
    <w:rsid w:val="00744F41"/>
    <w:rsid w:val="00766766"/>
    <w:rsid w:val="007A057A"/>
    <w:rsid w:val="007A24FE"/>
    <w:rsid w:val="007A35AA"/>
    <w:rsid w:val="007F1048"/>
    <w:rsid w:val="007F75CD"/>
    <w:rsid w:val="00820005"/>
    <w:rsid w:val="00846D27"/>
    <w:rsid w:val="008610A7"/>
    <w:rsid w:val="00861412"/>
    <w:rsid w:val="008A7432"/>
    <w:rsid w:val="008C60C9"/>
    <w:rsid w:val="008E1332"/>
    <w:rsid w:val="008F2129"/>
    <w:rsid w:val="00902184"/>
    <w:rsid w:val="00903896"/>
    <w:rsid w:val="00927813"/>
    <w:rsid w:val="00935208"/>
    <w:rsid w:val="00944D13"/>
    <w:rsid w:val="00950659"/>
    <w:rsid w:val="00957C90"/>
    <w:rsid w:val="0097411A"/>
    <w:rsid w:val="009B70F6"/>
    <w:rsid w:val="009C358E"/>
    <w:rsid w:val="009D43DE"/>
    <w:rsid w:val="009E0263"/>
    <w:rsid w:val="009F1EAB"/>
    <w:rsid w:val="009F467A"/>
    <w:rsid w:val="00A013AC"/>
    <w:rsid w:val="00A267CF"/>
    <w:rsid w:val="00A342BD"/>
    <w:rsid w:val="00A42393"/>
    <w:rsid w:val="00A43458"/>
    <w:rsid w:val="00A62AB9"/>
    <w:rsid w:val="00A65441"/>
    <w:rsid w:val="00A73DF6"/>
    <w:rsid w:val="00A74DD0"/>
    <w:rsid w:val="00A8457F"/>
    <w:rsid w:val="00A92373"/>
    <w:rsid w:val="00AB322C"/>
    <w:rsid w:val="00AC4684"/>
    <w:rsid w:val="00AC4E19"/>
    <w:rsid w:val="00AD6A60"/>
    <w:rsid w:val="00AE029F"/>
    <w:rsid w:val="00AF1ED6"/>
    <w:rsid w:val="00AF4B79"/>
    <w:rsid w:val="00B12A01"/>
    <w:rsid w:val="00B262D8"/>
    <w:rsid w:val="00B32C61"/>
    <w:rsid w:val="00B368FE"/>
    <w:rsid w:val="00B53D5A"/>
    <w:rsid w:val="00B80CBD"/>
    <w:rsid w:val="00B92788"/>
    <w:rsid w:val="00BB4C9B"/>
    <w:rsid w:val="00BC3369"/>
    <w:rsid w:val="00BC6DA9"/>
    <w:rsid w:val="00BE05BE"/>
    <w:rsid w:val="00BF3315"/>
    <w:rsid w:val="00BF77EE"/>
    <w:rsid w:val="00C32E0F"/>
    <w:rsid w:val="00C42BF9"/>
    <w:rsid w:val="00C83E56"/>
    <w:rsid w:val="00CC63CE"/>
    <w:rsid w:val="00D16423"/>
    <w:rsid w:val="00D319B3"/>
    <w:rsid w:val="00D36A71"/>
    <w:rsid w:val="00D53924"/>
    <w:rsid w:val="00D60849"/>
    <w:rsid w:val="00D76606"/>
    <w:rsid w:val="00D8036D"/>
    <w:rsid w:val="00D86335"/>
    <w:rsid w:val="00D96D8C"/>
    <w:rsid w:val="00DA755B"/>
    <w:rsid w:val="00DB71F9"/>
    <w:rsid w:val="00DC254D"/>
    <w:rsid w:val="00DD337E"/>
    <w:rsid w:val="00DF5B1D"/>
    <w:rsid w:val="00E00B6F"/>
    <w:rsid w:val="00E44DDF"/>
    <w:rsid w:val="00E54642"/>
    <w:rsid w:val="00E55B3A"/>
    <w:rsid w:val="00E82FCA"/>
    <w:rsid w:val="00E83E78"/>
    <w:rsid w:val="00E97908"/>
    <w:rsid w:val="00EB18F1"/>
    <w:rsid w:val="00EC4312"/>
    <w:rsid w:val="00EC6DA4"/>
    <w:rsid w:val="00EC7350"/>
    <w:rsid w:val="00EF07C8"/>
    <w:rsid w:val="00EF3ED0"/>
    <w:rsid w:val="00F17E56"/>
    <w:rsid w:val="00F2282B"/>
    <w:rsid w:val="00F379E8"/>
    <w:rsid w:val="00F4135D"/>
    <w:rsid w:val="00F82A89"/>
    <w:rsid w:val="00FB3C14"/>
    <w:rsid w:val="00FC30D2"/>
    <w:rsid w:val="00FD6AB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474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2429">
      <w:bodyDiv w:val="1"/>
      <w:marLeft w:val="0"/>
      <w:marRight w:val="0"/>
      <w:marTop w:val="0"/>
      <w:marBottom w:val="0"/>
      <w:divBdr>
        <w:top w:val="none" w:sz="0" w:space="0" w:color="auto"/>
        <w:left w:val="none" w:sz="0" w:space="0" w:color="auto"/>
        <w:bottom w:val="none" w:sz="0" w:space="0" w:color="auto"/>
        <w:right w:val="none" w:sz="0" w:space="0" w:color="auto"/>
      </w:divBdr>
    </w:div>
    <w:div w:id="209004042">
      <w:bodyDiv w:val="1"/>
      <w:marLeft w:val="0"/>
      <w:marRight w:val="0"/>
      <w:marTop w:val="0"/>
      <w:marBottom w:val="0"/>
      <w:divBdr>
        <w:top w:val="none" w:sz="0" w:space="0" w:color="auto"/>
        <w:left w:val="none" w:sz="0" w:space="0" w:color="auto"/>
        <w:bottom w:val="none" w:sz="0" w:space="0" w:color="auto"/>
        <w:right w:val="none" w:sz="0" w:space="0" w:color="auto"/>
      </w:divBdr>
    </w:div>
    <w:div w:id="113891077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8270441">
      <w:bodyDiv w:val="1"/>
      <w:marLeft w:val="0"/>
      <w:marRight w:val="0"/>
      <w:marTop w:val="0"/>
      <w:marBottom w:val="0"/>
      <w:divBdr>
        <w:top w:val="none" w:sz="0" w:space="0" w:color="auto"/>
        <w:left w:val="none" w:sz="0" w:space="0" w:color="auto"/>
        <w:bottom w:val="none" w:sz="0" w:space="0" w:color="auto"/>
        <w:right w:val="none" w:sz="0" w:space="0" w:color="auto"/>
      </w:divBdr>
    </w:div>
    <w:div w:id="165702983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92167031">
      <w:bodyDiv w:val="1"/>
      <w:marLeft w:val="0"/>
      <w:marRight w:val="0"/>
      <w:marTop w:val="0"/>
      <w:marBottom w:val="0"/>
      <w:divBdr>
        <w:top w:val="none" w:sz="0" w:space="0" w:color="auto"/>
        <w:left w:val="none" w:sz="0" w:space="0" w:color="auto"/>
        <w:bottom w:val="none" w:sz="0" w:space="0" w:color="auto"/>
        <w:right w:val="none" w:sz="0" w:space="0" w:color="auto"/>
      </w:divBdr>
    </w:div>
    <w:div w:id="205908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C5F07"/>
    <w:rsid w:val="00683642"/>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DE9D40A3A33944EBB81F5C68D3A4C2BE">
    <w:name w:val="DE9D40A3A33944EBB81F5C68D3A4C2BE"/>
    <w:rsid w:val="002C5F07"/>
    <w:pPr>
      <w:bidi/>
    </w:pPr>
  </w:style>
  <w:style w:type="paragraph" w:customStyle="1" w:styleId="6ABBF014739F49F881343A5FDCCB2443">
    <w:name w:val="6ABBF014739F49F881343A5FDCCB2443"/>
    <w:rsid w:val="002C5F07"/>
    <w:pPr>
      <w:bidi/>
    </w:pPr>
  </w:style>
  <w:style w:type="paragraph" w:customStyle="1" w:styleId="2A2F65EF31A3459BB881AEEE33419F7B">
    <w:name w:val="2A2F65EF31A3459BB881AEEE33419F7B"/>
    <w:rsid w:val="002C5F07"/>
    <w:pPr>
      <w:bidi/>
    </w:pPr>
  </w:style>
  <w:style w:type="paragraph" w:customStyle="1" w:styleId="1F0A3358B03A4604A533875E7D273A2B">
    <w:name w:val="1F0A3358B03A4604A533875E7D273A2B"/>
    <w:rsid w:val="002C5F07"/>
    <w:pPr>
      <w:bidi/>
    </w:pPr>
  </w:style>
  <w:style w:type="paragraph" w:customStyle="1" w:styleId="DA4DD3EEF7424094AE6093E6E52A4C1E">
    <w:name w:val="DA4DD3EEF7424094AE6093E6E52A4C1E"/>
    <w:rsid w:val="002C5F07"/>
    <w:pPr>
      <w:bidi/>
    </w:pPr>
  </w:style>
  <w:style w:type="paragraph" w:customStyle="1" w:styleId="3C4C97940BDA4C7DAD07A406A39C20C1">
    <w:name w:val="3C4C97940BDA4C7DAD07A406A39C20C1"/>
    <w:rsid w:val="002C5F07"/>
    <w:pPr>
      <w:bidi/>
    </w:pPr>
  </w:style>
  <w:style w:type="paragraph" w:customStyle="1" w:styleId="0758A9F0E0F24D2798CF95B53505CB38">
    <w:name w:val="0758A9F0E0F24D2798CF95B53505CB38"/>
    <w:rsid w:val="002C5F07"/>
    <w:pPr>
      <w:bidi/>
    </w:pPr>
  </w:style>
  <w:style w:type="paragraph" w:customStyle="1" w:styleId="DC0D6FEEE74340D4BFC874A68EBF1CA5">
    <w:name w:val="DC0D6FEEE74340D4BFC874A68EBF1CA5"/>
    <w:rsid w:val="002C5F0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יומיק שמר</FullName>
        <FirstName>יומיק</FirstName>
        <LastName>שמר</LastName>
        <PartyPropertyName/>
        <AuthenticationTypeAndNumber>ת"ז 022474043</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228810398</CasePartyID>
        <PartyTypeID>5</PartyTypeID>
        <ActivityStatusID>1</ActivityStatusID>
        <PartyAliasID>102</PartyAliasID>
        <PartyAliasName>מומחה בית משפט</PartyAliasName>
        <LegalEntityID>71022866</LegalEntityID>
        <CaseLegalEntityID>115994742</CaseLegalEntityID>
        <AuthenticationTypeID>1</AuthenticationTypeID>
        <AuthenticationTypeName>ת"ז</AuthenticationTypeName>
        <LegalEntityNumber>022474043</LegalEntityNumber>
        <IsMainPartyType>true</IsMainPartyType>
        <CaseDisplayIdentifier>7772-12-19</CaseDisplayIdentifier>
        <CaseTypeID>86</CaseTypeID>
        <CaseTypeName>תיק עזבונות (ת"ע)</CaseTypeName>
        <CaseName>נגר נ' נגר(המנוח) ואח'</CaseName>
        <FullAddress>הברוש 108 בני ראם </FullAddress>
        <EmailAddress>s_shemer@netvision.net.il</EmailAddress>
        <MotionID>0</MotionID>
        <CasePleaID>0</CasePleaID>
        <FatherName xml:space="preserve">        </FatherName>
        <LinkedCaseID>0</LinkedCaseID>
        <CasePartyCategoryID>1</CasePartyCategoryID>
        <LegalEntityAddressID>72547993</LegalEntityAddressID>
        <LegalEntityEmailAddressID>67840824</LegalEntityEmailAddressID>
        <PleaTypeID>5</PleaTypeID>
        <GroupPartyAlias/>
        <IsConverted>false</IsConverted>
        <LegalEntityNameID>73877536</LegalEntityNameID>
        <RepresentatedNamesOfAssistant/>
        <LegalEntityTypeID>6</LegalEntityTypeID>
        <IsVerdictExists>false</IsVerdictExists>
        <IsAsirAzir>false</IsAsirAzir>
        <IsPublicationProhibited>false</IsPublicationProhibited>
        <PublicationProhibitedFullName>יומיק שמר</PublicationProhibitedFullName>
      </CaseParties>
      <CaseParties>
        <PartyTypeName>עד</PartyTypeName>
        <ProceedingType>כתב טענות עיקרי</ProceedingType>
        <PleaName>כתב בקשה</PleaName>
        <PartyBelonging> - </PartyBelonging>
        <RoleName>עד מבקשים </RoleName>
        <IsSubProceeding>FALSE</IsSubProceeding>
        <FullName>עופר רוזנבלום</FullName>
        <FirstName>עופר</FirstName>
        <LastName>רוזנבלום</LastName>
        <PartyPropertyName/>
        <AuthenticationTypeAndNumber>ת"ז </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241904711</CasePartyID>
        <PartyTypeID>4</PartyTypeID>
        <ActivityStatusID>1</ActivityStatusID>
        <PartyAliasID>63</PartyAliasID>
        <PartyAliasName>עד מבקשים</PartyAliasName>
        <LegalEntityID>80539754</LegalEntityID>
        <CaseLegalEntityID>120038851</CaseLegalEntityID>
        <AuthenticationTypeID>1</AuthenticationTypeID>
        <AuthenticationTypeName>ת"ז</AuthenticationTypeName>
        <IsMainPartyType>true</IsMainPartyType>
        <CaseDisplayIdentifier>7772-12-19</CaseDisplayIdentifier>
        <CaseTypeID>86</CaseTypeID>
        <CaseTypeName>תיק עזבונות (ת"ע)</CaseTypeName>
        <CaseName>נגר נ' נגר(המנוח) ואח'</CaseName>
        <FullAddress>חיים ארלוזרוב 182 תל אביב -יפו ת.ד 16020</FullAddress>
        <MotionID>0</MotionID>
        <CasePleaID>0</CasePleaID>
        <LinkedCaseID>0</LinkedCaseID>
        <PartyID>1</PartyID>
        <CasePartyCategoryID>2</CasePartyCategoryID>
        <LegalEntityAddressID>86589952</LegalEntityAddressID>
        <PleaTypeID>5</PleaTypeID>
        <GroupPartyAlias/>
        <IsConverted>false</IsConverted>
        <LegalEntityNameID>93211619</LegalEntityNameID>
        <RepresentatedNamesOfAssistant/>
        <LegalEntityTypeID>1</LegalEntityTypeID>
        <IsVerdictExists>false</IsVerdictExists>
        <IsAsirAzir>false</IsAsirAzir>
        <IsPublicationProhibited>false</IsPublicationProhibited>
        <PublicationProhibitedFullName>עופר רוזנבלום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אייל בוטון</FullName>
        <FirstName>אייל</FirstName>
        <LastName>בוטון</LastName>
        <PartyPropertyName/>
        <AuthenticationTypeAndNumber>מ.ר. 16604</AuthenticationTypeAndNumber>
        <RepresentatedOrRepresentativesNames>ארז נגר</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231751737</CasePartyID>
        <PartyTypeID>2</PartyTypeID>
        <ActivityStatusID>1</ActivityStatusID>
        <PartyAliasID>22</PartyAliasID>
        <PartyAliasName>בא כוח מבקשים</PartyAliasName>
        <LegalEntityID>379557</LegalEntityID>
        <CaseLegalEntityID>116962555</CaseLegalEntityID>
        <AuthenticationTypeID>4</AuthenticationTypeID>
        <AuthenticationTypeName>מ.ר.</AuthenticationTypeName>
        <LegalEntityNumber>16604</LegalEntityNumber>
        <IsMainPartyType>true</IsMainPartyType>
        <CaseDisplayIdentifier>7772-12-19</CaseDisplayIdentifier>
        <CaseTypeID>86</CaseTypeID>
        <CaseTypeName>תיק עזבונות (ת"ע)</CaseTypeName>
        <CaseName>נגר נ' נגר(המנוח) ואח'</CaseName>
        <FullAddress>פייקס דוד 5 רחובות </FullAddress>
        <EmailAddress>eyal@booton.biz</EmailAddress>
        <MotionID>0</MotionID>
        <CasePleaID>0</CasePleaID>
        <LinkedCaseID>0</LinkedCaseID>
        <PartyID>1</PartyID>
        <CasePartyCategoryID>2</CasePartyCategoryID>
        <LegalEntityAddressID>84048517</LegalEntityAddressID>
        <LegalEntityEmailAddressID>67988505</LegalEntityEmailAddressID>
        <PleaTypeID>5</PleaTypeID>
        <LawyerOfficeName>אייל בוטון</LawyerOfficeName>
        <LawyerOfficeID>418969</LawyerOfficeID>
        <GroupPartyAlias/>
        <IsConverted>false</IsConverted>
        <LegalEntityNameID>541</LegalEntityNameID>
        <RepresentatedNamesOfAssistant/>
        <LegalEntityTypeID>4</LegalEntityTypeID>
        <IsVerdictExists>false</IsVerdictExists>
        <IsAsirAzir>false</IsAsirAzir>
        <IsPublicationProhibited>false</IsPublicationProhibited>
        <PublicationProhibitedFullName>אייל בוטון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שמואל כהן</FullName>
        <FirstName>שמואל</FirstName>
        <LastName>כהן</LastName>
        <PartyPropertyName/>
        <AuthenticationTypeAndNumber>מ.ר. 9366</AuthenticationTypeAndNumber>
        <RepresentatedOrRepresentativesNames>ישראלה באסל, קטי דהרי, אביבית חביבה, לירן חלה, צביה מדמון, גאולה נגר, דורון נגר, משה נג'י נגר, עזרא נגר, שלמה סלמן נגר</RepresentatedOrRepresentativesNames>
        <RepresentatedOrRepresentativesCount>10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219990645</CasePartyID>
        <PartyTypeID>2</PartyTypeID>
        <ActivityStatusID>1</ActivityStatusID>
        <PartyAliasID>23</PartyAliasID>
        <PartyAliasName>בא כוח משיבים</PartyAliasName>
        <LegalEntityID>394423</LegalEntityID>
        <CaseLegalEntityID>113449937</CaseLegalEntityID>
        <AuthenticationTypeID>4</AuthenticationTypeID>
        <AuthenticationTypeName>מ.ר.</AuthenticationTypeName>
        <LegalEntityNumber>9366</LegalEntityNumber>
        <IsMainPartyType>true</IsMainPartyType>
        <CaseDisplayIdentifier>7772-12-19</CaseDisplayIdentifier>
        <CaseTypeID>86</CaseTypeID>
        <CaseTypeName>תיק עזבונות (ת"ע)</CaseTypeName>
        <CaseName>נגר נ' נגר(המנוח) ואח'</CaseName>
        <FullAddress>פאת שולחן 8/7 תל אביב -יפו </FullAddress>
        <EmailAddress>smuladv@netvision.net.il</EmailAddress>
        <MotionID>0</MotionID>
        <CasePleaID>0</CasePleaID>
        <LinkedCaseID>0</LinkedCaseID>
        <PartyID>2</PartyID>
        <CasePartyCategoryID>2</CasePartyCategoryID>
        <LegalEntityAddressID>86152549</LegalEntityAddressID>
        <LegalEntityEmailAddressID>67875227</LegalEntityEmailAddressID>
        <PleaTypeID>5</PleaTypeID>
        <LawyerOfficeName>משרד עו"ד: שמואל כהן</LawyerOfficeName>
        <LawyerOfficeID>435067</LawyerOfficeID>
        <GroupPartyAlias/>
        <IsConverted>false</IsConverted>
        <LegalEntityNameID>15407</LegalEntityNameID>
        <RepresentatedNamesOfAssistant/>
        <LegalEntityTypeID>4</LegalEntityTypeID>
        <IsVerdictExists>false</IsVerdictExists>
        <IsAsirAzir>false</IsAsirAzir>
        <IsPublicationProhibited>false</IsPublicationProhibited>
        <PublicationProhibitedFullName>שמואל כהן</PublicationProhibitedFullName>
      </CaseParties>
      <CaseParties>
        <PartyTypeName>עד</PartyTypeName>
        <ProceedingType>כתב טענות עיקרי</ProceedingType>
        <PleaName>כתב בקשה</PleaName>
        <PartyBelonging> - </PartyBelonging>
        <RoleName>עד בית משפט </RoleName>
        <IsSubProceeding>FALSE</IsSubProceeding>
        <FullName>יומיק שמר מומחה</FullName>
        <FirstName>יומיק שמר</FirstName>
        <LastName>מומחה</LastName>
        <PartyPropertyName/>
        <AuthenticationTypeAndNumber>ת"ז </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239680121</CasePartyID>
        <PartyTypeID>4</PartyTypeID>
        <ActivityStatusID>1</ActivityStatusID>
        <PartyAliasID>101</PartyAliasID>
        <PartyAliasName>עד בית משפט</PartyAliasName>
        <LegalEntityID>80431044</LegalEntityID>
        <CaseLegalEntityID>119357963</CaseLegalEntityID>
        <AuthenticationTypeID>1</AuthenticationTypeID>
        <AuthenticationTypeName>ת"ז</AuthenticationTypeName>
        <IsMainPartyType>true</IsMainPartyType>
        <CaseDisplayIdentifier>7772-12-19</CaseDisplayIdentifier>
        <CaseTypeID>86</CaseTypeID>
        <CaseTypeName>תיק עזבונות (ת"ע)</CaseTypeName>
        <CaseName>נגר נ' נגר(המנוח) ואח'</CaseName>
        <FullAddress>הברוש 108 בני ראם </FullAddress>
        <MotionID>0</MotionID>
        <CasePleaID>0</CasePleaID>
        <LinkedCaseID>0</LinkedCaseID>
        <PartyID>2</PartyID>
        <CasePartyCategoryID>2</CasePartyCategoryID>
        <LegalEntityAddressID>86387670</LegalEntityAddressID>
        <PleaTypeID>5</PleaTypeID>
        <GroupPartyAlias/>
        <IsConverted>false</IsConverted>
        <LegalEntityNameID>92952094</LegalEntityNameID>
        <RepresentatedNamesOfAssistant/>
        <LegalEntityTypeID>1</LegalEntityTypeID>
        <IsVerdictExists>false</IsVerdictExists>
        <IsAsirAzir>false</IsAsirAzir>
        <IsPublicationProhibited>false</IsPublicationProhibited>
        <PublicationProhibitedFullName>יומיק שמר מומחה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אברהם שמש</FullName>
        <FirstName>אברהם</FirstName>
        <LastName>שמש</LastName>
        <PartyPropertyName/>
        <AuthenticationTypeAndNumber>מ.ר. 20646</AuthenticationTypeAndNumber>
        <RepresentatedOrRepresentativesNames>ארז נגר</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205083511</CasePartyID>
        <PartyTypeID>2</PartyTypeID>
        <ActivityStatusID>1</ActivityStatusID>
        <PartyAliasID>22</PartyAliasID>
        <PartyAliasName>בא כוח מבקשים</PartyAliasName>
        <OrdinalNumber>1</OrdinalNumber>
        <LegalEntityID>390009</LegalEntityID>
        <CaseLegalEntityID>109016535</CaseLegalEntityID>
        <AuthenticationTypeID>4</AuthenticationTypeID>
        <AuthenticationTypeName>מ.ר.</AuthenticationTypeName>
        <LegalEntityNumber>20646</LegalEntityNumber>
        <IsMainPartyType>true</IsMainPartyType>
        <CaseDisplayIdentifier>7772-12-19</CaseDisplayIdentifier>
        <CaseTypeID>86</CaseTypeID>
        <CaseTypeName>תיק עזבונות (ת"ע)</CaseTypeName>
        <CaseName>נגר נ' נגר(המנוח) ואח'</CaseName>
        <FullAddress>- לוטם </FullAddress>
        <MotionID>0</MotionID>
        <CasePleaID>0</CasePleaID>
        <FatherName xml:space="preserve">        </FatherName>
        <LinkedCaseID>0</LinkedCaseID>
        <PartyID>1</PartyID>
        <CasePartyCategoryID>2</CasePartyCategoryID>
        <LegalEntityAddressID>83139703</LegalEntityAddressID>
        <PleaTypeID>5</PleaTypeID>
        <LawyerOfficeName>אברהם שמש</LawyerOfficeName>
        <LawyerOfficeID>419508</LawyerOfficeID>
        <GroupPartyAlias/>
        <IsConverted>false</IsConverted>
        <LegalEntityNameID>10993</LegalEntityNameID>
        <RepresentatedNamesOfAssistant/>
        <LegalEntityTypeID>4</LegalEntityTypeID>
        <IsVerdictExists>false</IsVerdictExists>
        <IsAsirAzir>false</IsAsirAzir>
        <IsPublicationProhibited>false</IsPublicationProhibited>
        <PublicationProhibitedFullName>אברהם שמש</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ארז נגר</FullName>
        <FirstName>ארז</FirstName>
        <LastName>נגר</LastName>
        <PartyPropertyName/>
        <AuthenticationTypeAndNumber>ת"ז 024011835</AuthenticationTypeAndNumber>
        <RepresentatedOrRepresentativesNames>אייל בוטון, אברהם שמש</RepresentatedOrRepresentativesNames>
        <RepresentatedOrRepresentativesCount>2</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205083510</CasePartyID>
        <PartyTypeID>1</PartyTypeID>
        <ActivityStatusID>1</ActivityStatusID>
        <PartyAliasID>3</PartyAliasID>
        <PartyAliasName>מבקש</PartyAliasName>
        <OrdinalNumber>1</OrdinalNumber>
        <LegalEntityID>70822595</LegalEntityID>
        <CaseLegalEntityID>109016534</CaseLegalEntityID>
        <AuthenticationTypeID>1</AuthenticationTypeID>
        <AuthenticationTypeName>ת"ז</AuthenticationTypeName>
        <LegalEntityNumber>024011835</LegalEntityNumber>
        <IsMainPartyType>true</IsMainPartyType>
        <CaseDisplayIdentifier>7772-12-19</CaseDisplayIdentifier>
        <CaseTypeID>86</CaseTypeID>
        <CaseTypeName>תיק עזבונות (ת"ע)</CaseTypeName>
        <CaseName>נגר נ' נגר(המנוח) ואח'</CaseName>
        <FullAddress>רח' האלה 90 בית עזרא </FullAddress>
        <MotionID>0</MotionID>
        <CasePleaID>0</CasePleaID>
        <FatherName>אורי</FatherName>
        <LinkedCaseID>0</LinkedCaseID>
        <PartyID>1</PartyID>
        <CasePartyCategoryID>2</CasePartyCategoryID>
        <LegalEntityAddressID>83334045</LegalEntityAddressID>
        <PleaTypeID>5</PleaTypeID>
        <GroupPartyAlias>מבקשים</GroupPartyAlias>
        <IsConverted>false</IsConverted>
        <LegalEntityRegisteredNameID>2910459</LegalEntityRegisteredNameID>
        <LegalEntityNameID>88799411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ארז נגר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אורי נגר (המנוח)</FullName>
        <FirstName>אורי</FirstName>
        <LastName>נגר</LastName>
        <PartyPropertyID>12</PartyPropertyID>
        <PartyPropertyName/>
        <AuthenticationTypeAndNumber>ת"ז 041973322</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205083708</CasePartyID>
        <PartyTypeID>1</PartyTypeID>
        <ActivityStatusID>1</ActivityStatusID>
        <PartyAliasID>4</PartyAliasID>
        <PartyAliasName>משיב</PartyAliasName>
        <OrdinalNumber>1</OrdinalNumber>
        <LegalEntityID>34416931</LegalEntityID>
        <CaseLegalEntityID>109016598</CaseLegalEntityID>
        <AuthenticationTypeID>1</AuthenticationTypeID>
        <AuthenticationTypeName>ת"ז</AuthenticationTypeName>
        <LegalEntityNumber>041973322</LegalEntityNumber>
        <IsMainPartyType>true</IsMainPartyType>
        <CaseDisplayIdentifier>7772-12-19</CaseDisplayIdentifier>
        <CaseTypeID>86</CaseTypeID>
        <CaseTypeName>תיק עזבונות (ת"ע)</CaseTypeName>
        <CaseName>נגר נ' נגר(המנוח) ואח'</CaseName>
        <FullAddress/>
        <MotionID>0</MotionID>
        <CasePleaID>0</CasePleaID>
        <FatherName>נאגי</FatherName>
        <LinkedCaseID>0</LinkedCaseID>
        <PartyID>2</PartyID>
        <CasePartyCategoryID>2</CasePartyCategoryID>
        <PleaTypeID>5</PleaTypeID>
        <GroupPartyAlias>משיבים</GroupPartyAlias>
        <IsConverted>false</IsConverted>
        <LegalEntityRegisteredNameID>3101595</LegalEntityRegisteredNameID>
        <LegalEntityNameID>88799434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נגר (המנוח)</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גאולה נגר</FullName>
        <FirstName>גאולה</FirstName>
        <LastName>נגר</LastName>
        <PartyPropertyName/>
        <AuthenticationTypeAndNumber>ת"ז 030583207</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205084059</CasePartyID>
        <PartyTypeID>1</PartyTypeID>
        <ActivityStatusID>1</ActivityStatusID>
        <PartyAliasID>4</PartyAliasID>
        <PartyAliasName>משיב</PartyAliasName>
        <OrdinalNumber>2</OrdinalNumber>
        <LegalEntityID>78472915</LegalEntityID>
        <CaseLegalEntityID>109016704</CaseLegalEntityID>
        <AuthenticationTypeID>1</AuthenticationTypeID>
        <AuthenticationTypeName>ת"ז</AuthenticationTypeName>
        <LegalEntityNumber>030583207</LegalEntityNumber>
        <IsMainPartyType>true</IsMainPartyType>
        <CaseDisplayIdentifier>7772-12-19</CaseDisplayIdentifier>
        <CaseTypeID>86</CaseTypeID>
        <CaseTypeName>תיק עזבונות (ת"ע)</CaseTypeName>
        <CaseName>נגר נ' נגר(המנוח) ואח'</CaseName>
        <FullAddress>בית עזרא </FullAddress>
        <MotionID>0</MotionID>
        <CasePleaID>0</CasePleaID>
        <FatherName>ישראל</FatherName>
        <LinkedCaseID>0</LinkedCaseID>
        <PartyID>2</PartyID>
        <CasePartyCategoryID>2</CasePartyCategoryID>
        <LegalEntityAddressID>83334102</LegalEntityAddressID>
        <PleaTypeID>5</PleaTypeID>
        <GroupPartyAlias>משיבים</GroupPartyAlias>
        <IsConverted>false</IsConverted>
        <LegalEntityRegisteredNameID>8847052</LegalEntityRegisteredNameID>
        <LegalEntityNameID>88799478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גאולה נגר</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עזרא נגר</FullName>
        <FirstName>עזרא</FirstName>
        <LastName>נגר</LastName>
        <PartyPropertyName/>
        <AuthenticationTypeAndNumber>ת"ז 022670368</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205087484</CasePartyID>
        <PartyTypeID>1</PartyTypeID>
        <ActivityStatusID>1</ActivityStatusID>
        <PartyAliasID>4</PartyAliasID>
        <PartyAliasName>משיב</PartyAliasName>
        <OrdinalNumber>3</OrdinalNumber>
        <LegalEntityID>57976937</LegalEntityID>
        <CaseLegalEntityID>109017882</CaseLegalEntityID>
        <AuthenticationTypeID>1</AuthenticationTypeID>
        <AuthenticationTypeName>ת"ז</AuthenticationTypeName>
        <LegalEntityNumber>022670368</LegalEntityNumber>
        <IsMainPartyType>true</IsMainPartyType>
        <CaseDisplayIdentifier>7772-12-19</CaseDisplayIdentifier>
        <CaseTypeID>86</CaseTypeID>
        <CaseTypeName>תיק עזבונות (ת"ע)</CaseTypeName>
        <CaseName>נגר נ' נגר(המנוח) ואח'</CaseName>
        <FullAddress>רח' ירושלים 72 אזור </FullAddress>
        <MotionID>0</MotionID>
        <CasePleaID>0</CasePleaID>
        <FatherName>אורי</FatherName>
        <LinkedCaseID>0</LinkedCaseID>
        <PartyID>2</PartyID>
        <CasePartyCategoryID>2</CasePartyCategoryID>
        <LegalEntityAddressID>83334519</LegalEntityAddressID>
        <DrivingLicenseNumber>1227744</DrivingLicenseNumber>
        <PleaTypeID>5</PleaTypeID>
        <GroupPartyAlias>משיבים</GroupPartyAlias>
        <IsConverted>false</IsConverted>
        <LegalEntityRegisteredNameID>2909567</LegalEntityRegisteredNameID>
        <LegalEntityNameID>88800049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עזרא נגר</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דורון נגר</FullName>
        <FirstName>דורון</FirstName>
        <LastName>נגר</LastName>
        <PartyPropertyName/>
        <AuthenticationTypeAndNumber>ת"ז 023070261</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205087546</CasePartyID>
        <PartyTypeID>1</PartyTypeID>
        <ActivityStatusID>1</ActivityStatusID>
        <PartyAliasID>4</PartyAliasID>
        <PartyAliasName>משיב</PartyAliasName>
        <OrdinalNumber>4</OrdinalNumber>
        <LegalEntityID>34351754</LegalEntityID>
        <CaseLegalEntityID>109017906</CaseLegalEntityID>
        <AuthenticationTypeID>1</AuthenticationTypeID>
        <AuthenticationTypeName>ת"ז</AuthenticationTypeName>
        <LegalEntityNumber>023070261</LegalEntityNumber>
        <IsMainPartyType>true</IsMainPartyType>
        <CaseDisplayIdentifier>7772-12-19</CaseDisplayIdentifier>
        <CaseTypeID>86</CaseTypeID>
        <CaseTypeName>תיק עזבונות (ת"ע)</CaseTypeName>
        <CaseName>נגר נ' נגר(המנוח) ואח'</CaseName>
        <FullAddress>בית עזרא </FullAddress>
        <MotionID>0</MotionID>
        <CasePleaID>0</CasePleaID>
        <FatherName>אורי</FatherName>
        <LinkedCaseID>0</LinkedCaseID>
        <PartyID>2</PartyID>
        <CasePartyCategoryID>2</CasePartyCategoryID>
        <LegalEntityAddressID>83334531</LegalEntityAddressID>
        <DrivingLicenseNumber>1223321</DrivingLicenseNumber>
        <PleaTypeID>5</PleaTypeID>
        <GroupPartyAlias>משיבים</GroupPartyAlias>
        <IsConverted>false</IsConverted>
        <LegalEntityRegisteredNameID>8847053</LegalEntityRegisteredNameID>
        <LegalEntityNameID>88800064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נגר</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אביבית חביבה</FullName>
        <FirstName>אביבית</FirstName>
        <LastName>חביבה</LastName>
        <PartyPropertyName/>
        <AuthenticationTypeAndNumber>ת"ז 025400177</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205087639</CasePartyID>
        <PartyTypeID>1</PartyTypeID>
        <ActivityStatusID>1</ActivityStatusID>
        <PartyAliasID>4</PartyAliasID>
        <PartyAliasName>משיב</PartyAliasName>
        <OrdinalNumber>5</OrdinalNumber>
        <LegalEntityID>78472916</LegalEntityID>
        <CaseLegalEntityID>109017944</CaseLegalEntityID>
        <AuthenticationTypeID>1</AuthenticationTypeID>
        <AuthenticationTypeName>ת"ז</AuthenticationTypeName>
        <LegalEntityNumber>025400177</LegalEntityNumber>
        <IsMainPartyType>true</IsMainPartyType>
        <CaseDisplayIdentifier>7772-12-19</CaseDisplayIdentifier>
        <CaseTypeID>86</CaseTypeID>
        <CaseTypeName>תיק עזבונות (ת"ע)</CaseTypeName>
        <CaseName>נגר נ' נגר(המנוח) ואח'</CaseName>
        <FullAddress>עוזיאל 31 רמת גן </FullAddress>
        <MotionID>0</MotionID>
        <CasePleaID>0</CasePleaID>
        <FatherName>אורי</FatherName>
        <LinkedCaseID>0</LinkedCaseID>
        <PartyID>2</PartyID>
        <CasePartyCategoryID>2</CasePartyCategoryID>
        <LegalEntityAddressID>83334545</LegalEntityAddressID>
        <PleaTypeID>5</PleaTypeID>
        <GroupPartyAlias>משיבים</GroupPartyAlias>
        <IsConverted>false</IsConverted>
        <LegalEntityNameID>88800083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אביבית חביבה</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קטי דהרי</FullName>
        <FirstName>קטי</FirstName>
        <LastName>דהרי</LastName>
        <PartyPropertyName/>
        <AuthenticationTypeAndNumber>ת"ז 032261323</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205087710</CasePartyID>
        <PartyTypeID>1</PartyTypeID>
        <ActivityStatusID>1</ActivityStatusID>
        <PartyAliasID>4</PartyAliasID>
        <PartyAliasName>משיב</PartyAliasName>
        <OrdinalNumber>6</OrdinalNumber>
        <LegalEntityID>13065023</LegalEntityID>
        <CaseLegalEntityID>109017963</CaseLegalEntityID>
        <AuthenticationTypeID>1</AuthenticationTypeID>
        <AuthenticationTypeName>ת"ז</AuthenticationTypeName>
        <LegalEntityNumber>032261323</LegalEntityNumber>
        <IsMainPartyType>true</IsMainPartyType>
        <CaseDisplayIdentifier>7772-12-19</CaseDisplayIdentifier>
        <CaseTypeID>86</CaseTypeID>
        <CaseTypeName>תיק עזבונות (ת"ע)</CaseTypeName>
        <CaseName>נגר נ' נגר(המנוח) ואח'</CaseName>
        <FullAddress>האלה 84 עזר </FullAddress>
        <MotionID>0</MotionID>
        <CasePleaID>0</CasePleaID>
        <FatherName>אורי</FatherName>
        <LinkedCaseID>0</LinkedCaseID>
        <PartyID>2</PartyID>
        <CasePartyCategoryID>2</CasePartyCategoryID>
        <LegalEntityAddressID>83334552</LegalEntityAddressID>
        <PleaTypeID>5</PleaTypeID>
        <GroupPartyAlias>משיבים</GroupPartyAlias>
        <IsConverted>false</IsConverted>
        <LegalEntityRegisteredNameID>7839790</LegalEntityRegisteredNameID>
        <LegalEntityNameID>88800092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קטי דהרי</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ישראלה באסל</FullName>
        <FirstName>ישראלה</FirstName>
        <LastName>באסל</LastName>
        <PartyPropertyName/>
        <AuthenticationTypeAndNumber>ת"ז 038294070</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205087767</CasePartyID>
        <PartyTypeID>1</PartyTypeID>
        <ActivityStatusID>1</ActivityStatusID>
        <PartyAliasID>4</PartyAliasID>
        <PartyAliasName>משיב</PartyAliasName>
        <OrdinalNumber>7</OrdinalNumber>
        <LegalEntityID>75890153</LegalEntityID>
        <CaseLegalEntityID>109017983</CaseLegalEntityID>
        <AuthenticationTypeID>1</AuthenticationTypeID>
        <AuthenticationTypeName>ת"ז</AuthenticationTypeName>
        <LegalEntityNumber>038294070</LegalEntityNumber>
        <IsMainPartyType>true</IsMainPartyType>
        <CaseDisplayIdentifier>7772-12-19</CaseDisplayIdentifier>
        <CaseTypeID>86</CaseTypeID>
        <CaseTypeName>תיק עזבונות (ת"ע)</CaseTypeName>
        <CaseName>נגר נ' נגר(המנוח) ואח'</CaseName>
        <FullAddress>אירוס 4 גדרה </FullAddress>
        <MotionID>0</MotionID>
        <CasePleaID>0</CasePleaID>
        <FatherName>אורי</FatherName>
        <LinkedCaseID>0</LinkedCaseID>
        <PartyID>2</PartyID>
        <CasePartyCategoryID>2</CasePartyCategoryID>
        <LegalEntityAddressID>83334559</LegalEntityAddressID>
        <PleaTypeID>5</PleaTypeID>
        <GroupPartyAlias>משיבים</GroupPartyAlias>
        <IsConverted>false</IsConverted>
        <LegalEntityRegisteredNameID>5821181</LegalEntityRegisteredNameID>
        <LegalEntityNameID>88800103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ישראלה באסל</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לירן חלה</FullName>
        <FirstName>לירן</FirstName>
        <LastName>חלה</LastName>
        <PartyPropertyName/>
        <AuthenticationTypeAndNumber>ת"ז 033850066</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205087820</CasePartyID>
        <PartyTypeID>1</PartyTypeID>
        <ActivityStatusID>1</ActivityStatusID>
        <PartyAliasID>4</PartyAliasID>
        <PartyAliasName>משיב</PartyAliasName>
        <OrdinalNumber>8</OrdinalNumber>
        <LegalEntityID>78472917</LegalEntityID>
        <CaseLegalEntityID>109017999</CaseLegalEntityID>
        <AuthenticationTypeID>1</AuthenticationTypeID>
        <AuthenticationTypeName>ת"ז</AuthenticationTypeName>
        <LegalEntityNumber>033850066</LegalEntityNumber>
        <IsMainPartyType>true</IsMainPartyType>
        <CaseDisplayIdentifier>7772-12-19</CaseDisplayIdentifier>
        <CaseTypeID>86</CaseTypeID>
        <CaseTypeName>תיק עזבונות (ת"ע)</CaseTypeName>
        <CaseName>נגר נ' נגר(המנוח) ואח'</CaseName>
        <FullAddress>ברל כצנלסון 4 פתח תקווה </FullAddress>
        <MotionID>0</MotionID>
        <CasePleaID>0</CasePleaID>
        <FatherName>אורי</FatherName>
        <LinkedCaseID>0</LinkedCaseID>
        <PartyID>2</PartyID>
        <CasePartyCategoryID>2</CasePartyCategoryID>
        <LegalEntityAddressID>83334566</LegalEntityAddressID>
        <PleaTypeID>5</PleaTypeID>
        <GroupPartyAlias>משיבים</GroupPartyAlias>
        <IsConverted>false</IsConverted>
        <LegalEntityRegisteredNameID>8847054</LegalEntityRegisteredNameID>
        <LegalEntityNameID>88800110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לירן חלה</PublicationProhibitedFullName>
      </CaseParties>
      <CaseParties>
        <PartyTypeName>צד</PartyTypeName>
        <ProceedingType>כתב טענות עיקרי</ProceedingType>
        <PleaName>כתב בקשה</PleaName>
        <PartyBelonging>צד ב'</PartyBelonging>
        <RoleName>משיב 9</RoleName>
        <IsSubProceeding>FALSE</IsSubProceeding>
        <FullName>משה נג'י נגר</FullName>
        <FirstName>משה נג'י</FirstName>
        <LastName>נגר</LastName>
        <PartyPropertyName/>
        <AuthenticationTypeAndNumber>ת"ז 040183758</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205092303</CasePartyID>
        <PartyTypeID>1</PartyTypeID>
        <ActivityStatusID>1</ActivityStatusID>
        <PartyAliasID>4</PartyAliasID>
        <PartyAliasName>משיב</PartyAliasName>
        <OrdinalNumber>9</OrdinalNumber>
        <LegalEntityID>13079707</LegalEntityID>
        <CaseLegalEntityID>109019421</CaseLegalEntityID>
        <AuthenticationTypeID>1</AuthenticationTypeID>
        <AuthenticationTypeName>ת"ז</AuthenticationTypeName>
        <LegalEntityNumber>040183758</LegalEntityNumber>
        <IsMainPartyType>true</IsMainPartyType>
        <CaseDisplayIdentifier>7772-12-19</CaseDisplayIdentifier>
        <CaseTypeID>86</CaseTypeID>
        <CaseTypeName>תיק עזבונות (ת"ע)</CaseTypeName>
        <CaseName>נגר נ' נגר(המנוח) ואח'</CaseName>
        <FullAddress>גבעת התחמושת 2 חולון </FullAddress>
        <MotionID>0</MotionID>
        <CasePleaID>0</CasePleaID>
        <FatherName>אורי</FatherName>
        <LinkedCaseID>0</LinkedCaseID>
        <PartyID>2</PartyID>
        <CasePartyCategoryID>2</CasePartyCategoryID>
        <LegalEntityAddressID>83335055</LegalEntityAddressID>
        <PleaTypeID>5</PleaTypeID>
        <GroupPartyAlias>משיבים</GroupPartyAlias>
        <IsConverted>false</IsConverted>
        <LegalEntityRegisteredNameID>2283947</LegalEntityRegisteredNameID>
        <LegalEntityNameID>88800712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נג'י נגר</PublicationProhibitedFullName>
      </CaseParties>
      <CaseParties>
        <PartyTypeName>צד</PartyTypeName>
        <ProceedingType>כתב טענות עיקרי</ProceedingType>
        <PleaName>כתב בקשה</PleaName>
        <PartyBelonging>צד ב'</PartyBelonging>
        <RoleName>משיב 10</RoleName>
        <IsSubProceeding>FALSE</IsSubProceeding>
        <FullName>שלמה סלמן נגר</FullName>
        <FirstName>שלמה סלמן</FirstName>
        <LastName>נגר</LastName>
        <PartyPropertyName/>
        <AuthenticationTypeAndNumber>ת"ז 043145861</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205092358</CasePartyID>
        <PartyTypeID>1</PartyTypeID>
        <ActivityStatusID>1</ActivityStatusID>
        <PartyAliasID>4</PartyAliasID>
        <PartyAliasName>משיב</PartyAliasName>
        <OrdinalNumber>10</OrdinalNumber>
        <LegalEntityID>69686905</LegalEntityID>
        <CaseLegalEntityID>109019437</CaseLegalEntityID>
        <AuthenticationTypeID>1</AuthenticationTypeID>
        <AuthenticationTypeName>ת"ז</AuthenticationTypeName>
        <LegalEntityNumber>043145861</LegalEntityNumber>
        <IsMainPartyType>true</IsMainPartyType>
        <CaseDisplayIdentifier>7772-12-19</CaseDisplayIdentifier>
        <CaseTypeID>86</CaseTypeID>
        <CaseTypeName>תיק עזבונות (ת"ע)</CaseTypeName>
        <CaseName>נגר נ' נגר(המנוח) ואח'</CaseName>
        <FullAddress>בית עזרא </FullAddress>
        <MotionID>0</MotionID>
        <CasePleaID>0</CasePleaID>
        <FatherName>אורי</FatherName>
        <LinkedCaseID>0</LinkedCaseID>
        <PartyID>2</PartyID>
        <CasePartyCategoryID>2</CasePartyCategoryID>
        <LegalEntityAddressID>83335062</LegalEntityAddressID>
        <PleaTypeID>5</PleaTypeID>
        <GroupPartyAlias>משיבים</GroupPartyAlias>
        <IsConverted>false</IsConverted>
        <LegalEntityRegisteredNameID>2240650</LegalEntityRegisteredNameID>
        <LegalEntityNameID>88800720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סלמן נגר</PublicationProhibitedFullName>
      </CaseParties>
      <CaseParties>
        <PartyTypeName>צד</PartyTypeName>
        <ProceedingType>כתב טענות עיקרי</ProceedingType>
        <PleaName>כתב בקשה</PleaName>
        <PartyBelonging>צד ב'</PartyBelonging>
        <RoleName>משיב 11</RoleName>
        <IsSubProceeding>FALSE</IsSubProceeding>
        <FullName>צביה מדמון</FullName>
        <FirstName>צביה</FirstName>
        <LastName>מדמון</LastName>
        <PartyPropertyName/>
        <AuthenticationTypeAndNumber>ת"ז 034656470</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205092467</CasePartyID>
        <PartyTypeID>1</PartyTypeID>
        <ActivityStatusID>1</ActivityStatusID>
        <PartyAliasID>4</PartyAliasID>
        <PartyAliasName>משיב</PartyAliasName>
        <OrdinalNumber>11</OrdinalNumber>
        <LegalEntityID>78472918</LegalEntityID>
        <CaseLegalEntityID>109019459</CaseLegalEntityID>
        <AuthenticationTypeID>1</AuthenticationTypeID>
        <AuthenticationTypeName>ת"ז</AuthenticationTypeName>
        <LegalEntityNumber>034656470</LegalEntityNumber>
        <IsMainPartyType>true</IsMainPartyType>
        <CaseDisplayIdentifier>7772-12-19</CaseDisplayIdentifier>
        <CaseTypeID>86</CaseTypeID>
        <CaseTypeName>תיק עזבונות (ת"ע)</CaseTypeName>
        <CaseName>נגר נ' נגר(המנוח) ואח'</CaseName>
        <FullAddress>בית עזרא </FullAddress>
        <MotionID>0</MotionID>
        <CasePleaID>0</CasePleaID>
        <FatherName>אורי</FatherName>
        <LinkedCaseID>0</LinkedCaseID>
        <PartyID>2</PartyID>
        <CasePartyCategoryID>2</CasePartyCategoryID>
        <LegalEntityAddressID>83335072</LegalEntityAddressID>
        <PleaTypeID>5</PleaTypeID>
        <GroupPartyAlias>משיבים</GroupPartyAlias>
        <IsConverted>false</IsConverted>
        <LegalEntityRegisteredNameID>8847055</LegalEntityRegisteredNameID>
        <LegalEntityNameID>88800729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צביה מדמון</PublicationProhibitedFullName>
      </CaseParties>
      <CaseParties>
        <PartyTypeName>צד</PartyTypeName>
        <ProceedingType>כתב טענות עיקרי</ProceedingType>
        <PleaName>כתב בקשה</PleaName>
        <PartyBelonging>צד ב'</PartyBelonging>
        <RoleName>משיב 13</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205083512</CasePartyID>
        <PartyTypeID>1</PartyTypeID>
        <ActivityStatusID>1</ActivityStatusID>
        <PartyAliasID>4</PartyAliasID>
        <PartyAliasName>משיב</PartyAliasName>
        <OrdinalNumber>13</OrdinalNumber>
        <LegalEntityID>6763</LegalEntityID>
        <CaseLegalEntityID>109016536</CaseLegalEntityID>
        <AuthenticationTypeID>13</AuthenticationTypeID>
        <AuthenticationTypeName>משרדי ממשלה</AuthenticationTypeName>
        <LegalEntityNumber>999012</LegalEntityNumber>
        <IsMainPartyType>true</IsMainPartyType>
        <CaseDisplayIdentifier>7772-12-19</CaseDisplayIdentifier>
        <CaseTypeID>86</CaseTypeID>
        <CaseTypeName>תיק עזבונות (ת"ע)</CaseTypeName>
        <CaseName>נגר נ' נגר(המנוח) ואח'</CaseName>
        <FullAddress>התקוה 4 באר שבע קריית הממשלה</FullAddress>
        <MotionID>0</MotionID>
        <CasePleaID>0</CasePleaID>
        <LinkedCaseID>0</LinkedCaseID>
        <PartyID>2</PartyID>
        <CasePartyCategoryID>2</CasePartyCategoryID>
        <LegalEntityAddressID>70325432</LegalEntity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SelectionDS>
    <DecisionName>פסק דין  שניתנה ע"י  אריאל ממן</DecisionName>
    <CourtDisplayName>בית משפט לענייני משפחה בקריית גת</CourtDisplayName>
    <IsCaseJudgePanel>false</IsCaseJudgePanel>
    <DecisionSignatureDate>2023-12-25T10:36:31.4550084+02:00</DecisionSignatureDate>
    <OpenCaseDate>2019-12-03T08:55:00+02:00</OpenCaseDate>
    <CaseFeeSum>0.000</CaseFeeSum>
    <DecisionTypeID>2</DecisionTypeID>
    <DecisionSignatureUserName>אריאל ממן</DecisionSignatureUserName>
    <DecisionSignatureDateHebrew>2023-12-25T10:36:31.4550084+02:00</DecisionSignatureDateHebrew>
    <DecisionWriterID>036029429@GOV.IL</DecisionWriterID>
    <CourtAddress>רח' חשון 12 אזור התעשיה, קריית גת 82023</CourtAddress>
    <IsAutoTextInCaseExist>false</IsAutoTextInCaseExist>
    <DecisionSignatureRoleName>שופט</DecisionSignatureRoleName>
    <DecisionSignatureUserTitleName>שופט</DecisionSignatureUserTitleName>
    <CaseName>נגר נ' נגר(המנוח) ואח'</CaseName>
    <DecisionNumberInCase>5</DecisionNumberInCase>
  </dt_Decision>
  <dt_DecisionCase>
    <DecisionID>0</DecisionID>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יומיק שמר</FullName>
        <FirstName>יומיק</FirstName>
        <LastName>שמר</LastName>
        <PartyPropertyName/>
        <AuthenticationTypeAndNumber>ת"ז 022474043</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228810398</CasePartyID>
        <PartyTypeID>5</PartyTypeID>
        <ActivityStatusID>1</ActivityStatusID>
        <PartyAliasID>102</PartyAliasID>
        <PartyAliasName>מומחה בית משפט</PartyAliasName>
        <LegalEntityID>71022866</LegalEntityID>
        <CaseLegalEntityID>115994742</CaseLegalEntityID>
        <AuthenticationTypeID>1</AuthenticationTypeID>
        <AuthenticationTypeName>ת"ז</AuthenticationTypeName>
        <LegalEntityNumber>022474043</LegalEntityNumber>
        <IsMainPartyType>true</IsMainPartyType>
        <CaseDisplayIdentifier>7772-12-19</CaseDisplayIdentifier>
        <CaseTypeID>86</CaseTypeID>
        <CaseTypeName>תיק עזבונות (ת"ע)</CaseTypeName>
        <CaseName>נגר נ' נגר(המנוח) ואח'</CaseName>
        <FullAddress>הברוש 108 בני ראם </FullAddress>
        <EmailAddress>s_shemer@netvision.net.il</EmailAddress>
        <MotionID>0</MotionID>
        <CasePleaID>0</CasePleaID>
        <FatherName xml:space="preserve">        </FatherName>
        <LinkedCaseID>0</LinkedCaseID>
        <CasePartyCategoryID>1</CasePartyCategoryID>
        <LegalEntityAddressID>72547993</LegalEntityAddressID>
        <LegalEntityEmailAddressID>67840824</LegalEntityEmailAddressID>
        <PleaTypeID>5</PleaTypeID>
        <GroupPartyAlias/>
        <IsConverted>false</IsConverted>
        <LegalEntityNameID>73877536</LegalEntityNameID>
        <RepresentatedNamesOfAssistant/>
        <LegalEntityTypeID>6</LegalEntityTypeID>
        <IsVerdictExists>false</IsVerdictExists>
        <IsAsirAzir>false</IsAsirAzir>
        <IsPublicationProhibited>false</IsPublicationProhibited>
        <PublicationProhibitedFullName>יומיק שמר</PublicationProhibitedFullName>
      </CaseParties>
      <CaseParties>
        <PartyTypeName>עד</PartyTypeName>
        <ProceedingType>כתב טענות עיקרי</ProceedingType>
        <PleaName>כתב בקשה</PleaName>
        <PartyBelonging> - </PartyBelonging>
        <RoleName>עד מבקשים </RoleName>
        <IsSubProceeding>FALSE</IsSubProceeding>
        <FullName>עופר רוזנבלום</FullName>
        <FirstName>עופר</FirstName>
        <LastName>רוזנבלום</LastName>
        <PartyPropertyName/>
        <AuthenticationTypeAndNumber>ת"ז </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241904711</CasePartyID>
        <PartyTypeID>4</PartyTypeID>
        <ActivityStatusID>1</ActivityStatusID>
        <PartyAliasID>63</PartyAliasID>
        <PartyAliasName>עד מבקשים</PartyAliasName>
        <LegalEntityID>80539754</LegalEntityID>
        <CaseLegalEntityID>120038851</CaseLegalEntityID>
        <AuthenticationTypeID>1</AuthenticationTypeID>
        <AuthenticationTypeName>ת"ז</AuthenticationTypeName>
        <IsMainPartyType>true</IsMainPartyType>
        <CaseDisplayIdentifier>7772-12-19</CaseDisplayIdentifier>
        <CaseTypeID>86</CaseTypeID>
        <CaseTypeName>תיק עזבונות (ת"ע)</CaseTypeName>
        <CaseName>נגר נ' נגר(המנוח) ואח'</CaseName>
        <FullAddress>חיים ארלוזרוב 182 תל אביב -יפו ת.ד 16020</FullAddress>
        <MotionID>0</MotionID>
        <CasePleaID>0</CasePleaID>
        <LinkedCaseID>0</LinkedCaseID>
        <PartyID>1</PartyID>
        <CasePartyCategoryID>2</CasePartyCategoryID>
        <LegalEntityAddressID>86589952</LegalEntityAddressID>
        <PleaTypeID>5</PleaTypeID>
        <GroupPartyAlias/>
        <IsConverted>false</IsConverted>
        <LegalEntityNameID>93211619</LegalEntityNameID>
        <RepresentatedNamesOfAssistant/>
        <LegalEntityTypeID>1</LegalEntityTypeID>
        <IsVerdictExists>false</IsVerdictExists>
        <IsAsirAzir>false</IsAsirAzir>
        <IsPublicationProhibited>false</IsPublicationProhibited>
        <PublicationProhibitedFullName>עופר רוזנבלום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אייל בוטון</FullName>
        <FirstName>אייל</FirstName>
        <LastName>בוטון</LastName>
        <PartyPropertyName/>
        <AuthenticationTypeAndNumber>מ.ר. 16604</AuthenticationTypeAndNumber>
        <RepresentatedOrRepresentativesNames>ארז נגר</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231751737</CasePartyID>
        <PartyTypeID>2</PartyTypeID>
        <ActivityStatusID>1</ActivityStatusID>
        <PartyAliasID>22</PartyAliasID>
        <PartyAliasName>בא כוח מבקשים</PartyAliasName>
        <LegalEntityID>379557</LegalEntityID>
        <CaseLegalEntityID>116962555</CaseLegalEntityID>
        <AuthenticationTypeID>4</AuthenticationTypeID>
        <AuthenticationTypeName>מ.ר.</AuthenticationTypeName>
        <LegalEntityNumber>16604</LegalEntityNumber>
        <IsMainPartyType>true</IsMainPartyType>
        <CaseDisplayIdentifier>7772-12-19</CaseDisplayIdentifier>
        <CaseTypeID>86</CaseTypeID>
        <CaseTypeName>תיק עזבונות (ת"ע)</CaseTypeName>
        <CaseName>נגר נ' נגר(המנוח) ואח'</CaseName>
        <FullAddress>פייקס דוד 5 רחובות </FullAddress>
        <EmailAddress>eyal@booton.biz</EmailAddress>
        <MotionID>0</MotionID>
        <CasePleaID>0</CasePleaID>
        <LinkedCaseID>0</LinkedCaseID>
        <PartyID>1</PartyID>
        <CasePartyCategoryID>2</CasePartyCategoryID>
        <LegalEntityAddressID>84048517</LegalEntityAddressID>
        <LegalEntityEmailAddressID>67988505</LegalEntityEmailAddressID>
        <PleaTypeID>5</PleaTypeID>
        <LawyerOfficeName>אייל בוטון</LawyerOfficeName>
        <LawyerOfficeID>418969</LawyerOfficeID>
        <GroupPartyAlias/>
        <IsConverted>false</IsConverted>
        <LegalEntityNameID>541</LegalEntityNameID>
        <RepresentatedNamesOfAssistant/>
        <LegalEntityTypeID>4</LegalEntityTypeID>
        <IsVerdictExists>false</IsVerdictExists>
        <IsAsirAzir>false</IsAsirAzir>
        <IsPublicationProhibited>false</IsPublicationProhibited>
        <PublicationProhibitedFullName>אייל בוטון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שמואל כהן</FullName>
        <FirstName>שמואל</FirstName>
        <LastName>כהן</LastName>
        <PartyPropertyName/>
        <AuthenticationTypeAndNumber>מ.ר. 9366</AuthenticationTypeAndNumber>
        <RepresentatedOrRepresentativesNames>ישראלה באסל, קטי דהרי, אביבית חביבה, לירן חלה, צביה מדמון, גאולה נגר, דורון נגר, משה נג'י נגר, עזרא נגר, שלמה סלמן נגר</RepresentatedOrRepresentativesNames>
        <RepresentatedOrRepresentativesCount>10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219990645</CasePartyID>
        <PartyTypeID>2</PartyTypeID>
        <ActivityStatusID>1</ActivityStatusID>
        <PartyAliasID>23</PartyAliasID>
        <PartyAliasName>בא כוח משיבים</PartyAliasName>
        <LegalEntityID>394423</LegalEntityID>
        <CaseLegalEntityID>113449937</CaseLegalEntityID>
        <AuthenticationTypeID>4</AuthenticationTypeID>
        <AuthenticationTypeName>מ.ר.</AuthenticationTypeName>
        <LegalEntityNumber>9366</LegalEntityNumber>
        <IsMainPartyType>true</IsMainPartyType>
        <CaseDisplayIdentifier>7772-12-19</CaseDisplayIdentifier>
        <CaseTypeID>86</CaseTypeID>
        <CaseTypeName>תיק עזבונות (ת"ע)</CaseTypeName>
        <CaseName>נגר נ' נגר(המנוח) ואח'</CaseName>
        <FullAddress>פאת שולחן 8/7 תל אביב -יפו </FullAddress>
        <EmailAddress>smuladv@netvision.net.il</EmailAddress>
        <MotionID>0</MotionID>
        <CasePleaID>0</CasePleaID>
        <LinkedCaseID>0</LinkedCaseID>
        <PartyID>2</PartyID>
        <CasePartyCategoryID>2</CasePartyCategoryID>
        <LegalEntityAddressID>86152549</LegalEntityAddressID>
        <LegalEntityEmailAddressID>67875227</LegalEntityEmailAddressID>
        <PleaTypeID>5</PleaTypeID>
        <LawyerOfficeName>משרד עו"ד: שמואל כהן</LawyerOfficeName>
        <LawyerOfficeID>435067</LawyerOfficeID>
        <GroupPartyAlias/>
        <IsConverted>false</IsConverted>
        <LegalEntityNameID>15407</LegalEntityNameID>
        <RepresentatedNamesOfAssistant/>
        <LegalEntityTypeID>4</LegalEntityTypeID>
        <IsVerdictExists>false</IsVerdictExists>
        <IsAsirAzir>false</IsAsirAzir>
        <IsPublicationProhibited>false</IsPublicationProhibited>
        <PublicationProhibitedFullName>שמואל כהן</PublicationProhibitedFullName>
      </CaseParties>
      <CaseParties>
        <PartyTypeName>עד</PartyTypeName>
        <ProceedingType>כתב טענות עיקרי</ProceedingType>
        <PleaName>כתב בקשה</PleaName>
        <PartyBelonging> - </PartyBelonging>
        <RoleName>עד בית משפט </RoleName>
        <IsSubProceeding>FALSE</IsSubProceeding>
        <FullName>יומיק שמר מומחה</FullName>
        <FirstName>יומיק שמר</FirstName>
        <LastName>מומחה</LastName>
        <PartyPropertyName/>
        <AuthenticationTypeAndNumber>ת"ז </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239680121</CasePartyID>
        <PartyTypeID>4</PartyTypeID>
        <ActivityStatusID>1</ActivityStatusID>
        <PartyAliasID>101</PartyAliasID>
        <PartyAliasName>עד בית משפט</PartyAliasName>
        <LegalEntityID>80431044</LegalEntityID>
        <CaseLegalEntityID>119357963</CaseLegalEntityID>
        <AuthenticationTypeID>1</AuthenticationTypeID>
        <AuthenticationTypeName>ת"ז</AuthenticationTypeName>
        <IsMainPartyType>true</IsMainPartyType>
        <CaseDisplayIdentifier>7772-12-19</CaseDisplayIdentifier>
        <CaseTypeID>86</CaseTypeID>
        <CaseTypeName>תיק עזבונות (ת"ע)</CaseTypeName>
        <CaseName>נגר נ' נגר(המנוח) ואח'</CaseName>
        <FullAddress>הברוש 108 בני ראם </FullAddress>
        <MotionID>0</MotionID>
        <CasePleaID>0</CasePleaID>
        <LinkedCaseID>0</LinkedCaseID>
        <PartyID>2</PartyID>
        <CasePartyCategoryID>2</CasePartyCategoryID>
        <LegalEntityAddressID>86387670</LegalEntityAddressID>
        <PleaTypeID>5</PleaTypeID>
        <GroupPartyAlias/>
        <IsConverted>false</IsConverted>
        <LegalEntityNameID>92952094</LegalEntityNameID>
        <RepresentatedNamesOfAssistant/>
        <LegalEntityTypeID>1</LegalEntityTypeID>
        <IsVerdictExists>false</IsVerdictExists>
        <IsAsirAzir>false</IsAsirAzir>
        <IsPublicationProhibited>false</IsPublicationProhibited>
        <PublicationProhibitedFullName>יומיק שמר מומחה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אברהם שמש</FullName>
        <FirstName>אברהם</FirstName>
        <LastName>שמש</LastName>
        <PartyPropertyName/>
        <AuthenticationTypeAndNumber>מ.ר. 20646</AuthenticationTypeAndNumber>
        <RepresentatedOrRepresentativesNames>ארז נגר</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205083511</CasePartyID>
        <PartyTypeID>2</PartyTypeID>
        <ActivityStatusID>1</ActivityStatusID>
        <PartyAliasID>22</PartyAliasID>
        <PartyAliasName>בא כוח מבקשים</PartyAliasName>
        <OrdinalNumber>1</OrdinalNumber>
        <LegalEntityID>390009</LegalEntityID>
        <CaseLegalEntityID>109016535</CaseLegalEntityID>
        <AuthenticationTypeID>4</AuthenticationTypeID>
        <AuthenticationTypeName>מ.ר.</AuthenticationTypeName>
        <LegalEntityNumber>20646</LegalEntityNumber>
        <IsMainPartyType>true</IsMainPartyType>
        <CaseDisplayIdentifier>7772-12-19</CaseDisplayIdentifier>
        <CaseTypeID>86</CaseTypeID>
        <CaseTypeName>תיק עזבונות (ת"ע)</CaseTypeName>
        <CaseName>נגר נ' נגר(המנוח) ואח'</CaseName>
        <FullAddress>- לוטם </FullAddress>
        <MotionID>0</MotionID>
        <CasePleaID>0</CasePleaID>
        <FatherName xml:space="preserve">        </FatherName>
        <LinkedCaseID>0</LinkedCaseID>
        <PartyID>1</PartyID>
        <CasePartyCategoryID>2</CasePartyCategoryID>
        <LegalEntityAddressID>83139703</LegalEntityAddressID>
        <PleaTypeID>5</PleaTypeID>
        <LawyerOfficeName>אברהם שמש</LawyerOfficeName>
        <LawyerOfficeID>419508</LawyerOfficeID>
        <GroupPartyAlias/>
        <IsConverted>false</IsConverted>
        <LegalEntityNameID>10993</LegalEntityNameID>
        <RepresentatedNamesOfAssistant/>
        <LegalEntityTypeID>4</LegalEntityTypeID>
        <IsVerdictExists>false</IsVerdictExists>
        <IsAsirAzir>false</IsAsirAzir>
        <IsPublicationProhibited>false</IsPublicationProhibited>
        <PublicationProhibitedFullName>אברהם שמש</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ארז נגר</FullName>
        <FirstName>ארז</FirstName>
        <LastName>נגר</LastName>
        <PartyPropertyName/>
        <AuthenticationTypeAndNumber>ת"ז 024011835</AuthenticationTypeAndNumber>
        <RepresentatedOrRepresentativesNames>אייל בוטון, אברהם שמש</RepresentatedOrRepresentativesNames>
        <RepresentatedOrRepresentativesCount>2</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205083510</CasePartyID>
        <PartyTypeID>1</PartyTypeID>
        <ActivityStatusID>1</ActivityStatusID>
        <PartyAliasID>3</PartyAliasID>
        <PartyAliasName>מבקש</PartyAliasName>
        <OrdinalNumber>1</OrdinalNumber>
        <LegalEntityID>70822595</LegalEntityID>
        <CaseLegalEntityID>109016534</CaseLegalEntityID>
        <AuthenticationTypeID>1</AuthenticationTypeID>
        <AuthenticationTypeName>ת"ז</AuthenticationTypeName>
        <LegalEntityNumber>024011835</LegalEntityNumber>
        <IsMainPartyType>true</IsMainPartyType>
        <CaseDisplayIdentifier>7772-12-19</CaseDisplayIdentifier>
        <CaseTypeID>86</CaseTypeID>
        <CaseTypeName>תיק עזבונות (ת"ע)</CaseTypeName>
        <CaseName>נגר נ' נגר(המנוח) ואח'</CaseName>
        <FullAddress>רח' האלה 90 בית עזרא </FullAddress>
        <MotionID>0</MotionID>
        <CasePleaID>0</CasePleaID>
        <FatherName>אורי</FatherName>
        <LinkedCaseID>0</LinkedCaseID>
        <PartyID>1</PartyID>
        <CasePartyCategoryID>2</CasePartyCategoryID>
        <LegalEntityAddressID>83334045</LegalEntityAddressID>
        <PleaTypeID>5</PleaTypeID>
        <GroupPartyAlias>מבקשים</GroupPartyAlias>
        <IsConverted>false</IsConverted>
        <LegalEntityRegisteredNameID>2910459</LegalEntityRegisteredNameID>
        <LegalEntityNameID>88799411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ארז נגר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אורי נגר (המנוח)</FullName>
        <FirstName>אורי</FirstName>
        <LastName>נגר</LastName>
        <PartyPropertyID>12</PartyPropertyID>
        <PartyPropertyName/>
        <AuthenticationTypeAndNumber>ת"ז 041973322</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205083708</CasePartyID>
        <PartyTypeID>1</PartyTypeID>
        <ActivityStatusID>1</ActivityStatusID>
        <PartyAliasID>4</PartyAliasID>
        <PartyAliasName>משיב</PartyAliasName>
        <OrdinalNumber>1</OrdinalNumber>
        <LegalEntityID>34416931</LegalEntityID>
        <CaseLegalEntityID>109016598</CaseLegalEntityID>
        <AuthenticationTypeID>1</AuthenticationTypeID>
        <AuthenticationTypeName>ת"ז</AuthenticationTypeName>
        <LegalEntityNumber>041973322</LegalEntityNumber>
        <IsMainPartyType>true</IsMainPartyType>
        <CaseDisplayIdentifier>7772-12-19</CaseDisplayIdentifier>
        <CaseTypeID>86</CaseTypeID>
        <CaseTypeName>תיק עזבונות (ת"ע)</CaseTypeName>
        <CaseName>נגר נ' נגר(המנוח) ואח'</CaseName>
        <FullAddress/>
        <MotionID>0</MotionID>
        <CasePleaID>0</CasePleaID>
        <FatherName>נאגי</FatherName>
        <LinkedCaseID>0</LinkedCaseID>
        <PartyID>2</PartyID>
        <CasePartyCategoryID>2</CasePartyCategoryID>
        <PleaTypeID>5</PleaTypeID>
        <GroupPartyAlias>משיבים</GroupPartyAlias>
        <IsConverted>false</IsConverted>
        <LegalEntityRegisteredNameID>3101595</LegalEntityRegisteredNameID>
        <LegalEntityNameID>88799434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נגר (המנוח)</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גאולה נגר</FullName>
        <FirstName>גאולה</FirstName>
        <LastName>נגר</LastName>
        <PartyPropertyName/>
        <AuthenticationTypeAndNumber>ת"ז 030583207</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205084059</CasePartyID>
        <PartyTypeID>1</PartyTypeID>
        <ActivityStatusID>1</ActivityStatusID>
        <PartyAliasID>4</PartyAliasID>
        <PartyAliasName>משיב</PartyAliasName>
        <OrdinalNumber>2</OrdinalNumber>
        <LegalEntityID>78472915</LegalEntityID>
        <CaseLegalEntityID>109016704</CaseLegalEntityID>
        <AuthenticationTypeID>1</AuthenticationTypeID>
        <AuthenticationTypeName>ת"ז</AuthenticationTypeName>
        <LegalEntityNumber>030583207</LegalEntityNumber>
        <IsMainPartyType>true</IsMainPartyType>
        <CaseDisplayIdentifier>7772-12-19</CaseDisplayIdentifier>
        <CaseTypeID>86</CaseTypeID>
        <CaseTypeName>תיק עזבונות (ת"ע)</CaseTypeName>
        <CaseName>נגר נ' נגר(המנוח) ואח'</CaseName>
        <FullAddress>בית עזרא </FullAddress>
        <MotionID>0</MotionID>
        <CasePleaID>0</CasePleaID>
        <FatherName>ישראל</FatherName>
        <LinkedCaseID>0</LinkedCaseID>
        <PartyID>2</PartyID>
        <CasePartyCategoryID>2</CasePartyCategoryID>
        <LegalEntityAddressID>83334102</LegalEntityAddressID>
        <PleaTypeID>5</PleaTypeID>
        <GroupPartyAlias>משיבים</GroupPartyAlias>
        <IsConverted>false</IsConverted>
        <LegalEntityRegisteredNameID>8847052</LegalEntityRegisteredNameID>
        <LegalEntityNameID>88799478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גאולה נגר</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עזרא נגר</FullName>
        <FirstName>עזרא</FirstName>
        <LastName>נגר</LastName>
        <PartyPropertyName/>
        <AuthenticationTypeAndNumber>ת"ז 022670368</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205087484</CasePartyID>
        <PartyTypeID>1</PartyTypeID>
        <ActivityStatusID>1</ActivityStatusID>
        <PartyAliasID>4</PartyAliasID>
        <PartyAliasName>משיב</PartyAliasName>
        <OrdinalNumber>3</OrdinalNumber>
        <LegalEntityID>57976937</LegalEntityID>
        <CaseLegalEntityID>109017882</CaseLegalEntityID>
        <AuthenticationTypeID>1</AuthenticationTypeID>
        <AuthenticationTypeName>ת"ז</AuthenticationTypeName>
        <LegalEntityNumber>022670368</LegalEntityNumber>
        <IsMainPartyType>true</IsMainPartyType>
        <CaseDisplayIdentifier>7772-12-19</CaseDisplayIdentifier>
        <CaseTypeID>86</CaseTypeID>
        <CaseTypeName>תיק עזבונות (ת"ע)</CaseTypeName>
        <CaseName>נגר נ' נגר(המנוח) ואח'</CaseName>
        <FullAddress>רח' ירושלים 72 אזור </FullAddress>
        <MotionID>0</MotionID>
        <CasePleaID>0</CasePleaID>
        <FatherName>אורי</FatherName>
        <LinkedCaseID>0</LinkedCaseID>
        <PartyID>2</PartyID>
        <CasePartyCategoryID>2</CasePartyCategoryID>
        <LegalEntityAddressID>83334519</LegalEntityAddressID>
        <DrivingLicenseNumber>1227744</DrivingLicenseNumber>
        <PleaTypeID>5</PleaTypeID>
        <GroupPartyAlias>משיבים</GroupPartyAlias>
        <IsConverted>false</IsConverted>
        <LegalEntityRegisteredNameID>2909567</LegalEntityRegisteredNameID>
        <LegalEntityNameID>88800049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עזרא נגר</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דורון נגר</FullName>
        <FirstName>דורון</FirstName>
        <LastName>נגר</LastName>
        <PartyPropertyName/>
        <AuthenticationTypeAndNumber>ת"ז 023070261</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205087546</CasePartyID>
        <PartyTypeID>1</PartyTypeID>
        <ActivityStatusID>1</ActivityStatusID>
        <PartyAliasID>4</PartyAliasID>
        <PartyAliasName>משיב</PartyAliasName>
        <OrdinalNumber>4</OrdinalNumber>
        <LegalEntityID>34351754</LegalEntityID>
        <CaseLegalEntityID>109017906</CaseLegalEntityID>
        <AuthenticationTypeID>1</AuthenticationTypeID>
        <AuthenticationTypeName>ת"ז</AuthenticationTypeName>
        <LegalEntityNumber>023070261</LegalEntityNumber>
        <IsMainPartyType>true</IsMainPartyType>
        <CaseDisplayIdentifier>7772-12-19</CaseDisplayIdentifier>
        <CaseTypeID>86</CaseTypeID>
        <CaseTypeName>תיק עזבונות (ת"ע)</CaseTypeName>
        <CaseName>נגר נ' נגר(המנוח) ואח'</CaseName>
        <FullAddress>בית עזרא </FullAddress>
        <MotionID>0</MotionID>
        <CasePleaID>0</CasePleaID>
        <FatherName>אורי</FatherName>
        <LinkedCaseID>0</LinkedCaseID>
        <PartyID>2</PartyID>
        <CasePartyCategoryID>2</CasePartyCategoryID>
        <LegalEntityAddressID>83334531</LegalEntityAddressID>
        <DrivingLicenseNumber>1223321</DrivingLicenseNumber>
        <PleaTypeID>5</PleaTypeID>
        <GroupPartyAlias>משיבים</GroupPartyAlias>
        <IsConverted>false</IsConverted>
        <LegalEntityRegisteredNameID>8847053</LegalEntityRegisteredNameID>
        <LegalEntityNameID>88800064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נגר</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אביבית חביבה</FullName>
        <FirstName>אביבית</FirstName>
        <LastName>חביבה</LastName>
        <PartyPropertyName/>
        <AuthenticationTypeAndNumber>ת"ז 025400177</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205087639</CasePartyID>
        <PartyTypeID>1</PartyTypeID>
        <ActivityStatusID>1</ActivityStatusID>
        <PartyAliasID>4</PartyAliasID>
        <PartyAliasName>משיב</PartyAliasName>
        <OrdinalNumber>5</OrdinalNumber>
        <LegalEntityID>78472916</LegalEntityID>
        <CaseLegalEntityID>109017944</CaseLegalEntityID>
        <AuthenticationTypeID>1</AuthenticationTypeID>
        <AuthenticationTypeName>ת"ז</AuthenticationTypeName>
        <LegalEntityNumber>025400177</LegalEntityNumber>
        <IsMainPartyType>true</IsMainPartyType>
        <CaseDisplayIdentifier>7772-12-19</CaseDisplayIdentifier>
        <CaseTypeID>86</CaseTypeID>
        <CaseTypeName>תיק עזבונות (ת"ע)</CaseTypeName>
        <CaseName>נגר נ' נגר(המנוח) ואח'</CaseName>
        <FullAddress>עוזיאל 31 רמת גן </FullAddress>
        <MotionID>0</MotionID>
        <CasePleaID>0</CasePleaID>
        <FatherName>אורי</FatherName>
        <LinkedCaseID>0</LinkedCaseID>
        <PartyID>2</PartyID>
        <CasePartyCategoryID>2</CasePartyCategoryID>
        <LegalEntityAddressID>83334545</LegalEntityAddressID>
        <PleaTypeID>5</PleaTypeID>
        <GroupPartyAlias>משיבים</GroupPartyAlias>
        <IsConverted>false</IsConverted>
        <LegalEntityNameID>88800083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אביבית חביבה</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קטי דהרי</FullName>
        <FirstName>קטי</FirstName>
        <LastName>דהרי</LastName>
        <PartyPropertyName/>
        <AuthenticationTypeAndNumber>ת"ז 032261323</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205087710</CasePartyID>
        <PartyTypeID>1</PartyTypeID>
        <ActivityStatusID>1</ActivityStatusID>
        <PartyAliasID>4</PartyAliasID>
        <PartyAliasName>משיב</PartyAliasName>
        <OrdinalNumber>6</OrdinalNumber>
        <LegalEntityID>13065023</LegalEntityID>
        <CaseLegalEntityID>109017963</CaseLegalEntityID>
        <AuthenticationTypeID>1</AuthenticationTypeID>
        <AuthenticationTypeName>ת"ז</AuthenticationTypeName>
        <LegalEntityNumber>032261323</LegalEntityNumber>
        <IsMainPartyType>true</IsMainPartyType>
        <CaseDisplayIdentifier>7772-12-19</CaseDisplayIdentifier>
        <CaseTypeID>86</CaseTypeID>
        <CaseTypeName>תיק עזבונות (ת"ע)</CaseTypeName>
        <CaseName>נגר נ' נגר(המנוח) ואח'</CaseName>
        <FullAddress>האלה 84 עזר </FullAddress>
        <MotionID>0</MotionID>
        <CasePleaID>0</CasePleaID>
        <FatherName>אורי</FatherName>
        <LinkedCaseID>0</LinkedCaseID>
        <PartyID>2</PartyID>
        <CasePartyCategoryID>2</CasePartyCategoryID>
        <LegalEntityAddressID>83334552</LegalEntityAddressID>
        <PleaTypeID>5</PleaTypeID>
        <GroupPartyAlias>משיבים</GroupPartyAlias>
        <IsConverted>false</IsConverted>
        <LegalEntityRegisteredNameID>7839790</LegalEntityRegisteredNameID>
        <LegalEntityNameID>88800092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קטי דהרי</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ישראלה באסל</FullName>
        <FirstName>ישראלה</FirstName>
        <LastName>באסל</LastName>
        <PartyPropertyName/>
        <AuthenticationTypeAndNumber>ת"ז 038294070</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205087767</CasePartyID>
        <PartyTypeID>1</PartyTypeID>
        <ActivityStatusID>1</ActivityStatusID>
        <PartyAliasID>4</PartyAliasID>
        <PartyAliasName>משיב</PartyAliasName>
        <OrdinalNumber>7</OrdinalNumber>
        <LegalEntityID>75890153</LegalEntityID>
        <CaseLegalEntityID>109017983</CaseLegalEntityID>
        <AuthenticationTypeID>1</AuthenticationTypeID>
        <AuthenticationTypeName>ת"ז</AuthenticationTypeName>
        <LegalEntityNumber>038294070</LegalEntityNumber>
        <IsMainPartyType>true</IsMainPartyType>
        <CaseDisplayIdentifier>7772-12-19</CaseDisplayIdentifier>
        <CaseTypeID>86</CaseTypeID>
        <CaseTypeName>תיק עזבונות (ת"ע)</CaseTypeName>
        <CaseName>נגר נ' נגר(המנוח) ואח'</CaseName>
        <FullAddress>אירוס 4 גדרה </FullAddress>
        <MotionID>0</MotionID>
        <CasePleaID>0</CasePleaID>
        <FatherName>אורי</FatherName>
        <LinkedCaseID>0</LinkedCaseID>
        <PartyID>2</PartyID>
        <CasePartyCategoryID>2</CasePartyCategoryID>
        <LegalEntityAddressID>83334559</LegalEntityAddressID>
        <PleaTypeID>5</PleaTypeID>
        <GroupPartyAlias>משיבים</GroupPartyAlias>
        <IsConverted>false</IsConverted>
        <LegalEntityRegisteredNameID>5821181</LegalEntityRegisteredNameID>
        <LegalEntityNameID>88800103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ישראלה באסל</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לירן חלה</FullName>
        <FirstName>לירן</FirstName>
        <LastName>חלה</LastName>
        <PartyPropertyName/>
        <AuthenticationTypeAndNumber>ת"ז 033850066</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205087820</CasePartyID>
        <PartyTypeID>1</PartyTypeID>
        <ActivityStatusID>1</ActivityStatusID>
        <PartyAliasID>4</PartyAliasID>
        <PartyAliasName>משיב</PartyAliasName>
        <OrdinalNumber>8</OrdinalNumber>
        <LegalEntityID>78472917</LegalEntityID>
        <CaseLegalEntityID>109017999</CaseLegalEntityID>
        <AuthenticationTypeID>1</AuthenticationTypeID>
        <AuthenticationTypeName>ת"ז</AuthenticationTypeName>
        <LegalEntityNumber>033850066</LegalEntityNumber>
        <IsMainPartyType>true</IsMainPartyType>
        <CaseDisplayIdentifier>7772-12-19</CaseDisplayIdentifier>
        <CaseTypeID>86</CaseTypeID>
        <CaseTypeName>תיק עזבונות (ת"ע)</CaseTypeName>
        <CaseName>נגר נ' נגר(המנוח) ואח'</CaseName>
        <FullAddress>ברל כצנלסון 4 פתח תקווה </FullAddress>
        <MotionID>0</MotionID>
        <CasePleaID>0</CasePleaID>
        <FatherName>אורי</FatherName>
        <LinkedCaseID>0</LinkedCaseID>
        <PartyID>2</PartyID>
        <CasePartyCategoryID>2</CasePartyCategoryID>
        <LegalEntityAddressID>83334566</LegalEntityAddressID>
        <PleaTypeID>5</PleaTypeID>
        <GroupPartyAlias>משיבים</GroupPartyAlias>
        <IsConverted>false</IsConverted>
        <LegalEntityRegisteredNameID>8847054</LegalEntityRegisteredNameID>
        <LegalEntityNameID>88800110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לירן חלה</PublicationProhibitedFullName>
      </CaseParties>
      <CaseParties>
        <PartyTypeName>צד</PartyTypeName>
        <ProceedingType>כתב טענות עיקרי</ProceedingType>
        <PleaName>כתב בקשה</PleaName>
        <PartyBelonging>צד ב'</PartyBelonging>
        <RoleName>משיב 9</RoleName>
        <IsSubProceeding>FALSE</IsSubProceeding>
        <FullName>משה נג'י נגר</FullName>
        <FirstName>משה נג'י</FirstName>
        <LastName>נגר</LastName>
        <PartyPropertyName/>
        <AuthenticationTypeAndNumber>ת"ז 040183758</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205092303</CasePartyID>
        <PartyTypeID>1</PartyTypeID>
        <ActivityStatusID>1</ActivityStatusID>
        <PartyAliasID>4</PartyAliasID>
        <PartyAliasName>משיב</PartyAliasName>
        <OrdinalNumber>9</OrdinalNumber>
        <LegalEntityID>13079707</LegalEntityID>
        <CaseLegalEntityID>109019421</CaseLegalEntityID>
        <AuthenticationTypeID>1</AuthenticationTypeID>
        <AuthenticationTypeName>ת"ז</AuthenticationTypeName>
        <LegalEntityNumber>040183758</LegalEntityNumber>
        <IsMainPartyType>true</IsMainPartyType>
        <CaseDisplayIdentifier>7772-12-19</CaseDisplayIdentifier>
        <CaseTypeID>86</CaseTypeID>
        <CaseTypeName>תיק עזבונות (ת"ע)</CaseTypeName>
        <CaseName>נגר נ' נגר(המנוח) ואח'</CaseName>
        <FullAddress>גבעת התחמושת 2 חולון </FullAddress>
        <MotionID>0</MotionID>
        <CasePleaID>0</CasePleaID>
        <FatherName>אורי</FatherName>
        <LinkedCaseID>0</LinkedCaseID>
        <PartyID>2</PartyID>
        <CasePartyCategoryID>2</CasePartyCategoryID>
        <LegalEntityAddressID>83335055</LegalEntityAddressID>
        <PleaTypeID>5</PleaTypeID>
        <GroupPartyAlias>משיבים</GroupPartyAlias>
        <IsConverted>false</IsConverted>
        <LegalEntityRegisteredNameID>2283947</LegalEntityRegisteredNameID>
        <LegalEntityNameID>88800712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נג'י נגר</PublicationProhibitedFullName>
      </CaseParties>
      <CaseParties>
        <PartyTypeName>צד</PartyTypeName>
        <ProceedingType>כתב טענות עיקרי</ProceedingType>
        <PleaName>כתב בקשה</PleaName>
        <PartyBelonging>צד ב'</PartyBelonging>
        <RoleName>משיב 10</RoleName>
        <IsSubProceeding>FALSE</IsSubProceeding>
        <FullName>שלמה סלמן נגר</FullName>
        <FirstName>שלמה סלמן</FirstName>
        <LastName>נגר</LastName>
        <PartyPropertyName/>
        <AuthenticationTypeAndNumber>ת"ז 043145861</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205092358</CasePartyID>
        <PartyTypeID>1</PartyTypeID>
        <ActivityStatusID>1</ActivityStatusID>
        <PartyAliasID>4</PartyAliasID>
        <PartyAliasName>משיב</PartyAliasName>
        <OrdinalNumber>10</OrdinalNumber>
        <LegalEntityID>69686905</LegalEntityID>
        <CaseLegalEntityID>109019437</CaseLegalEntityID>
        <AuthenticationTypeID>1</AuthenticationTypeID>
        <AuthenticationTypeName>ת"ז</AuthenticationTypeName>
        <LegalEntityNumber>043145861</LegalEntityNumber>
        <IsMainPartyType>true</IsMainPartyType>
        <CaseDisplayIdentifier>7772-12-19</CaseDisplayIdentifier>
        <CaseTypeID>86</CaseTypeID>
        <CaseTypeName>תיק עזבונות (ת"ע)</CaseTypeName>
        <CaseName>נגר נ' נגר(המנוח) ואח'</CaseName>
        <FullAddress>בית עזרא </FullAddress>
        <MotionID>0</MotionID>
        <CasePleaID>0</CasePleaID>
        <FatherName>אורי</FatherName>
        <LinkedCaseID>0</LinkedCaseID>
        <PartyID>2</PartyID>
        <CasePartyCategoryID>2</CasePartyCategoryID>
        <LegalEntityAddressID>83335062</LegalEntityAddressID>
        <PleaTypeID>5</PleaTypeID>
        <GroupPartyAlias>משיבים</GroupPartyAlias>
        <IsConverted>false</IsConverted>
        <LegalEntityRegisteredNameID>2240650</LegalEntityRegisteredNameID>
        <LegalEntityNameID>88800720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סלמן נגר</PublicationProhibitedFullName>
      </CaseParties>
      <CaseParties>
        <PartyTypeName>צד</PartyTypeName>
        <ProceedingType>כתב טענות עיקרי</ProceedingType>
        <PleaName>כתב בקשה</PleaName>
        <PartyBelonging>צד ב'</PartyBelonging>
        <RoleName>משיב 11</RoleName>
        <IsSubProceeding>FALSE</IsSubProceeding>
        <FullName>צביה מדמון</FullName>
        <FirstName>צביה</FirstName>
        <LastName>מדמון</LastName>
        <PartyPropertyName/>
        <AuthenticationTypeAndNumber>ת"ז 034656470</AuthenticationTypeAndNumber>
        <RepresentatedOrRepresentativesNames>שמואל כהן</RepresentatedOrRepresentativesNames>
        <RepresentatedOrRepresentativesCount>1</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205092467</CasePartyID>
        <PartyTypeID>1</PartyTypeID>
        <ActivityStatusID>1</ActivityStatusID>
        <PartyAliasID>4</PartyAliasID>
        <PartyAliasName>משיב</PartyAliasName>
        <OrdinalNumber>11</OrdinalNumber>
        <LegalEntityID>78472918</LegalEntityID>
        <CaseLegalEntityID>109019459</CaseLegalEntityID>
        <AuthenticationTypeID>1</AuthenticationTypeID>
        <AuthenticationTypeName>ת"ז</AuthenticationTypeName>
        <LegalEntityNumber>034656470</LegalEntityNumber>
        <IsMainPartyType>true</IsMainPartyType>
        <CaseDisplayIdentifier>7772-12-19</CaseDisplayIdentifier>
        <CaseTypeID>86</CaseTypeID>
        <CaseTypeName>תיק עזבונות (ת"ע)</CaseTypeName>
        <CaseName>נגר נ' נגר(המנוח) ואח'</CaseName>
        <FullAddress>בית עזרא </FullAddress>
        <MotionID>0</MotionID>
        <CasePleaID>0</CasePleaID>
        <FatherName>אורי</FatherName>
        <LinkedCaseID>0</LinkedCaseID>
        <PartyID>2</PartyID>
        <CasePartyCategoryID>2</CasePartyCategoryID>
        <LegalEntityAddressID>83335072</LegalEntityAddressID>
        <PleaTypeID>5</PleaTypeID>
        <GroupPartyAlias>משיבים</GroupPartyAlias>
        <IsConverted>false</IsConverted>
        <LegalEntityRegisteredNameID>8847055</LegalEntityRegisteredNameID>
        <LegalEntityNameID>88800729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צביה מדמון</PublicationProhibitedFullName>
      </CaseParties>
      <CaseParties>
        <PartyTypeName>צד</PartyTypeName>
        <ProceedingType>כתב טענות עיקרי</ProceedingType>
        <PleaName>כתב בקשה</PleaName>
        <PartyBelonging>צד ב'</PartyBelonging>
        <RoleName>משיב 13</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76978065</CaseID>
        <CaseJudicialPersonPresentationDS>
          <CaseJudicalPersonActive>
            <CaseID>76978065</CaseID>
            <JudicialPersonID>036029429@GOV.IL</JudicialPersonID>
            <JudicialPersonTypeID>1</JudicialPersonTypeID>
            <JudicialTypeID>1</JudicialTypeID>
            <IsChairman>false</IsChairman>
            <TreatmentStartDate>2021-02-03T12:26:06.833+02:00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205083512</CasePartyID>
        <PartyTypeID>1</PartyTypeID>
        <ActivityStatusID>1</ActivityStatusID>
        <PartyAliasID>4</PartyAliasID>
        <PartyAliasName>משיב</PartyAliasName>
        <OrdinalNumber>13</OrdinalNumber>
        <LegalEntityID>6763</LegalEntityID>
        <CaseLegalEntityID>109016536</CaseLegalEntityID>
        <AuthenticationTypeID>13</AuthenticationTypeID>
        <AuthenticationTypeName>משרדי ממשלה</AuthenticationTypeName>
        <LegalEntityNumber>999012</LegalEntityNumber>
        <IsMainPartyType>true</IsMainPartyType>
        <CaseDisplayIdentifier>7772-12-19</CaseDisplayIdentifier>
        <CaseTypeID>86</CaseTypeID>
        <CaseTypeName>תיק עזבונות (ת"ע)</CaseTypeName>
        <CaseName>נגר נ' נגר(המנוח) ואח'</CaseName>
        <FullAddress>התקוה 4 באר שבע קריית הממשלה</FullAddress>
        <MotionID>0</MotionID>
        <CasePleaID>0</CasePleaID>
        <LinkedCaseID>0</LinkedCaseID>
        <PartyID>2</PartyID>
        <CasePartyCategoryID>2</CasePartyCategoryID>
        <LegalEntityAddressID>70325432</LegalEntity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SelectionDS>
    <CaseName>נגר נ' נגר(המנוח) ואח'</CaseName>
    <CaseDisplayIdentifier>7772-12-19</CaseDisplayIdentifier>
    <CaseInterestID>2</CaseInterestID>
    <CaseTypeShortName>ת"ע</CaseTypeShortName>
  </dt_DecisionCase>
  <dt_DecisionJudgePanel>
    <JudgeID>036029429@GOV.IL</JudgeID>
    <DisplayName>אריאל ממן</DisplayName>
    <RoleName>שופט</RoleName>
    <UserTitleName>שופט</UserTitleName>
  </dt_DecisionJudgePanel>
  <dt_LegalEntityDetails>
    <Fax>03-5234063</Fax>
    <Phone>03-5234063</Phone>
    <PartyID>2</PartyID>
    <PartyTypeID>2</PartyTypeID>
    <DecisionID>0</DecisionID>
    <StreetName>פאת שולחן 8/7</StreetName>
    <ZipCode>6745102</ZipCode>
    <CityName>תל אביב -יפו</CityName>
    <FullName>שמואל כהן</FullName>
    <Email>smuladv@netvision.net.il</Email>
    <IsPublicationProhibited>false</IsPublicationProhibited>
  </dt_LegalEntityDetails>
  <dt_LegalEntityDetails>
    <Fax>08-8585011</Fax>
    <PartyTypeID>5</PartyTypeID>
    <DecisionID>0</DecisionID>
    <StreetName>הברוש 108</StreetName>
    <CityName>בני ראם</CityName>
    <FullName>יומיק שמר</FullName>
    <Email>s_shemer@netvision.net.il</Email>
    <IsPublicationProhibited>false</IsPublicationProhibited>
  </dt_LegalEntityDetails>
  <dt_LegalEntityDetails>
    <Fax>08-9365092</Fax>
    <Phone>08-9365090</Phone>
    <AddressDesc/>
    <PartyID>1</PartyID>
    <PartyTypeID>2</PartyTypeID>
    <DecisionID>0</DecisionID>
    <StreetName>פייקס דוד 5</StreetName>
    <ZipCode>7632805</ZipCode>
    <CityName>רחובות</CityName>
    <FullName>אייל בוטון</FullName>
    <Email>eyal@booton.biz</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רח' האלה 90</StreetName>
    <CityName>בית עזרא</CityName>
    <FullName>ארז נגר</FullName>
    <IsPublicationProhibited>false</IsPublicationProhibited>
  </dt_LegalEntityDetails>
  <dt_LegalEntityDetails>
    <Fax>04-8105546</Fax>
    <PartyID>1</PartyID>
    <PartyTypeID>2</PartyTypeID>
    <DecisionID>0</DecisionID>
    <StreetName>-</StreetName>
    <ZipCode>2012400</ZipCode>
    <CityName>לוטם</CityName>
    <FullName>אברהם שמש</FullName>
    <Email>avi_she@netvision.net.il</Email>
    <IsPublicationProhibited>false</IsPublicationProhibited>
  </dt_LegalEntityDetails>
  <dt_LegalEntityDetails>
    <PartyID>2</PartyID>
    <PartyTypeID>1</PartyTypeID>
    <DecisionID>0</DecisionID>
    <FullName>אורי נגר</FullName>
    <IsPublicationProhibited>false</IsPublicationProhibited>
  </dt_LegalEntityDetails>
  <dt_LegalEntityDetails>
    <PartyID>2</PartyID>
    <PartyTypeID>1</PartyTypeID>
    <DecisionID>0</DecisionID>
    <CityName>בית עזרא</CityName>
    <FullName>גאולה נגר</FullName>
    <IsPublicationProhibited>false</IsPublicationProhibited>
  </dt_LegalEntityDetails>
  <dt_LegalEntityDetails>
    <PartyID>2</PartyID>
    <PartyTypeID>1</PartyTypeID>
    <DecisionID>0</DecisionID>
    <StreetName>רח' ירושלים 72</StreetName>
    <CityName>אזור</CityName>
    <FullName>עזרא נגר</FullName>
    <IsPublicationProhibited>false</IsPublicationProhibited>
  </dt_LegalEntityDetails>
  <dt_LegalEntityDetails>
    <PartyID>2</PartyID>
    <PartyTypeID>1</PartyTypeID>
    <DecisionID>0</DecisionID>
    <CityName>בית עזרא</CityName>
    <FullName>דורון נגר</FullName>
    <IsPublicationProhibited>false</IsPublicationProhibited>
  </dt_LegalEntityDetails>
  <dt_LegalEntityDetails>
    <PartyID>2</PartyID>
    <PartyTypeID>1</PartyTypeID>
    <DecisionID>0</DecisionID>
    <StreetName>עוזיאל 31</StreetName>
    <CityName>רמת גן</CityName>
    <FullName>אביבית חביבה</FullName>
    <IsPublicationProhibited>false</IsPublicationProhibited>
  </dt_LegalEntityDetails>
  <dt_LegalEntityDetails>
    <PartyID>2</PartyID>
    <PartyTypeID>1</PartyTypeID>
    <DecisionID>0</DecisionID>
    <StreetName>האלה 84</StreetName>
    <CityName>עזר</CityName>
    <FullName>קטי דהרי</FullName>
    <IsPublicationProhibited>false</IsPublicationProhibited>
  </dt_LegalEntityDetails>
  <dt_LegalEntityDetails>
    <PartyID>2</PartyID>
    <PartyTypeID>1</PartyTypeID>
    <DecisionID>0</DecisionID>
    <StreetName>אירוס 4</StreetName>
    <CityName>גדרה</CityName>
    <FullName>ישראלה באסל</FullName>
    <IsPublicationProhibited>false</IsPublicationProhibited>
  </dt_LegalEntityDetails>
  <dt_LegalEntityDetails>
    <PartyID>2</PartyID>
    <PartyTypeID>1</PartyTypeID>
    <DecisionID>0</DecisionID>
    <StreetName>ברל כצנלסון 4</StreetName>
    <CityName>פתח תקווה</CityName>
    <FullName>לירן חלה</FullName>
    <IsPublicationProhibited>false</IsPublicationProhibited>
  </dt_LegalEntityDetails>
  <dt_LegalEntityDetails>
    <PartyID>2</PartyID>
    <PartyTypeID>1</PartyTypeID>
    <DecisionID>0</DecisionID>
    <StreetName>גבעת התחמושת 2</StreetName>
    <CityName>חולון</CityName>
    <FullName>משה נג'י נגר</FullName>
    <IsPublicationProhibited>false</IsPublicationProhibited>
  </dt_LegalEntityDetails>
  <dt_LegalEntityDetails>
    <PartyID>2</PartyID>
    <PartyTypeID>1</PartyTypeID>
    <DecisionID>0</DecisionID>
    <CityName>בית עזרא</CityName>
    <FullName>שלמה סלמן  נגר</FullName>
    <IsPublicationProhibited>false</IsPublicationProhibited>
  </dt_LegalEntityDetails>
  <dt_LegalEntityDetails>
    <PartyID>2</PartyID>
    <PartyTypeID>1</PartyTypeID>
    <DecisionID>0</DecisionID>
    <CityName>בית עזרא</CityName>
    <FullName>צביה מדמון</FullName>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CaseJudicalPersonActive>
    <CaseJudicalPerson>שופט אריאל ממן</CaseJudicalPerson>
  </dt_CaseJudicalPersonActive>
  <dt_Sitting>
    <PreviousMeetingDate>2023-01-17T16:00:00+02:00</PreviousMeetingDate>
    <PreviousSittingTypeID>5</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B5E874B4-C8DE-4B6C-A0F1-FF853B34641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4845</Words>
  <Characters>24226</Characters>
  <Application>Microsoft Office Word</Application>
  <DocSecurity>0</DocSecurity>
  <Lines>201</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2023-12-27T10:27:00Z</dcterms:created>
  <dcterms:modified xsi:type="dcterms:W3CDTF">2023-12-27T10:27:00Z</dcterms:modified>
</cp:coreProperties>
</file>